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BÉLA</w:t>
            </w:r>
          </w:p>
          <w:p w:rsidR="00C275A3" w:rsidRDefault="00A96AEC" w:rsidP="00C275A3">
            <w:pPr>
              <w:pStyle w:val="Hallgatokepzes"/>
            </w:pPr>
            <w:r>
              <w:t>rendészeti igazgatási</w:t>
            </w:r>
            <w:r>
              <w:br/>
            </w:r>
            <w:r w:rsidR="00E77B23">
              <w:t>BA, 5. félév</w:t>
            </w:r>
          </w:p>
          <w:p w:rsidR="00C265CE" w:rsidRPr="009E5FF1" w:rsidRDefault="00E77B23" w:rsidP="00C275A3">
            <w:pPr>
              <w:pStyle w:val="Hallgatokepzes"/>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Suba László püőr. őrgy.</w:t>
            </w:r>
          </w:p>
          <w:p w:rsidR="00DB4822" w:rsidRDefault="00DB4822" w:rsidP="00E11062">
            <w:pPr>
              <w:pStyle w:val="Konzulensek"/>
            </w:pPr>
            <w:r w:rsidRPr="00DB4822">
              <w:t>szaktanár,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Vámeljárások a Magyar Postán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 Nemzeti Adó- és Vámhivatal, valamint a Magyar Posta közös munkájáról igyekszik áttekintést adni. Olyan területet mutat be, amellyel kapcsolatosan alig áll rendelkezésre egységes szerkezetű ismertető, másrészt igyekszik a szakterület létjogosultságát annak ellátására szolgáló speciális szabályozással is alátámasztani.</w:t>
      </w:r>
    </w:p>
    <w:p>
      <w:pPr>
        <w:widowControl w:val="on"/>
        <w:pBdr/>
        <w:spacing w:before="240" w:after="240" w:line="240" w:lineRule="auto"/>
        <w:ind w:left="0" w:right="0"/>
        <w:jc w:val="left"/>
      </w:pPr>
      <w:r>
        <w:rPr>
          <w:color w:val="000000"/>
          <w:sz w:val="24"/>
          <w:szCs w:val="24"/>
        </w:rPr>
        <w:t xml:space="preserve">Először - az akkor még - Vám- és Pénzügyőrség és a Magyar Posta munkájának néhány évtizedes múltjával ismerkedhetünk meg. A történelmi visszatekintés érdekességét az adja, hogy a dolgozat írásakor már nyugállományban lévő pénzügyőrök visszaemlékezéseire épül, de ehhez a tényszerű alapot természetesen jogszabályok rendelkezései, valamint kutatás során a pénzügyőrség hivatalos lapjának archív példányaiból megszerzett, az adott témakörhöz kapcsolható anyagok képezik.</w:t>
      </w:r>
    </w:p>
    <w:p>
      <w:pPr>
        <w:widowControl w:val="on"/>
        <w:pBdr/>
        <w:spacing w:before="240" w:after="240" w:line="240" w:lineRule="auto"/>
        <w:ind w:left="0" w:right="0"/>
        <w:jc w:val="left"/>
      </w:pPr>
      <w:r>
        <w:rPr>
          <w:color w:val="000000"/>
          <w:sz w:val="24"/>
          <w:szCs w:val="24"/>
        </w:rPr>
        <w:t xml:space="preserve">Ezt követően képet kapunk a jogszabályi háttérről.</w:t>
      </w:r>
    </w:p>
    <w:p>
      <w:pPr>
        <w:widowControl w:val="on"/>
        <w:pBdr/>
        <w:spacing w:before="240" w:after="240" w:line="240" w:lineRule="auto"/>
        <w:ind w:left="0" w:right="0"/>
        <w:jc w:val="left"/>
      </w:pPr>
      <w:r>
        <w:rPr>
          <w:color w:val="000000"/>
          <w:sz w:val="24"/>
          <w:szCs w:val="24"/>
        </w:rPr>
        <w:t xml:space="preserve">Majd néhány vámjogi alapfogalom kerül tisztázásra-, csak példálózó jelleggel néhány a legfontosabbak közül,- majd a postaforgalmi vámeljárások során nélkülözhetetlen fogalomról kapunk ismertetőt.</w:t>
      </w:r>
    </w:p>
    <w:p>
      <w:pPr>
        <w:widowControl w:val="on"/>
        <w:pBdr/>
        <w:spacing w:before="240" w:after="240" w:line="240" w:lineRule="auto"/>
        <w:ind w:left="0" w:right="0"/>
        <w:jc w:val="left"/>
      </w:pPr>
      <w:r>
        <w:rPr>
          <w:color w:val="000000"/>
          <w:sz w:val="24"/>
          <w:szCs w:val="24"/>
        </w:rPr>
        <w:t xml:space="preserve">A dolgozat törzsét az alapeljárás keretében végzett vámeljárások adják.</w:t>
      </w:r>
    </w:p>
    <w:p>
      <w:pPr>
        <w:widowControl w:val="on"/>
        <w:pBdr/>
        <w:spacing w:before="240" w:after="240" w:line="240" w:lineRule="auto"/>
        <w:ind w:left="0" w:right="0"/>
        <w:jc w:val="left"/>
      </w:pPr>
      <w:r>
        <w:rPr>
          <w:color w:val="000000"/>
          <w:sz w:val="24"/>
          <w:szCs w:val="24"/>
        </w:rPr>
        <w:t xml:space="preserve">A vámeljárások közül először az árutovábbítás kerül részletezésre. Ennek specialitása az alapjául szolgáló, a postaforgalomban általánosan, minden vámeljáráshoz kapcsolódó CN23 vámáru-nyilatkozat, valamint magának a továbbításnak az általánostól eltérő szabályai, amelyeket a Magyar Posta, mint a küldemények kezelője, szállítmányozója és felelőse részvétele tesz szükségszerűvé.</w:t>
      </w:r>
    </w:p>
    <w:p>
      <w:pPr>
        <w:widowControl w:val="on"/>
        <w:pBdr/>
        <w:spacing w:before="240" w:after="240" w:line="240" w:lineRule="auto"/>
        <w:ind w:left="0" w:right="0"/>
        <w:jc w:val="left"/>
      </w:pPr>
      <w:r>
        <w:rPr>
          <w:color w:val="000000"/>
          <w:sz w:val="24"/>
          <w:szCs w:val="24"/>
        </w:rPr>
        <w:t xml:space="preserve">A gazdasági vámeljárások és a kiviteli eljárások áttekintését követi a szabad forgalomba bocsátás vámeljárás részletes elemzése. Ennek legfőbb vezérfonala a magánforgalmi és a kereskedelmi forgalmi vámkezelések elhatárolása. A magánforgalmi vámkezelések további részletezése során ezen túlmenően szétválasztásra kerülnek a magánszemélyek között ellenszolgáltatás nélkül feladott küldemények a magánszemély által vásárolt termékeket tartalmazó küldeményektől. A témát lezárandó fejezetként képet kapunk az olyan postai csomagokról, amelyek megtévesztő adatokkal, vagy épp olyan beltartalommal kerülnek bemutatásra, amelyek szabálysértési, esetlegesen büntetőeljárás bevezetését vonják maguk után. Ehelyütt külön hangsúlyt kapnak az áruk közé, vagy épp magukba az árukba rejtett kábítószer-csempészési módok.</w:t>
      </w:r>
    </w:p>
    <w:p>
      <w:pPr>
        <w:widowControl w:val="on"/>
        <w:pBdr/>
        <w:spacing w:before="240" w:after="240" w:line="240" w:lineRule="auto"/>
        <w:ind w:left="0" w:right="0"/>
        <w:jc w:val="left"/>
      </w:pPr>
      <w:r>
        <w:rPr>
          <w:color w:val="000000"/>
          <w:sz w:val="24"/>
          <w:szCs w:val="24"/>
        </w:rPr>
        <w:t xml:space="preserve">Végül a szakterületre vonatkozó jogi szabályozások összhangjával kapcsolatosan merül fel kérdés, zárásként pedig rövid előretekintő kerül megfogalmazásra.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70651">
    <w:multiLevelType w:val="hybridMultilevel"/>
    <w:lvl w:ilvl="0" w:tplc="51553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70651">
    <w:abstractNumId w:val="74170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2821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