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BELA KISS</w:t>
            </w:r>
          </w:p>
          <w:p w:rsidR="00C275A3" w:rsidRDefault="00A96AEC" w:rsidP="00C275A3">
            <w:pPr>
              <w:pStyle w:val="Hallgatokepzes"/>
            </w:pPr>
            <w:r>
              <w:t>Law Enforcement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Major Dr. Laszlo Suba</w:t>
            </w:r>
          </w:p>
          <w:p w:rsidR="00DB4822" w:rsidRDefault="00DB4822" w:rsidP="00E11062">
            <w:pPr>
              <w:pStyle w:val="Konzulensek"/>
            </w:pPr>
            <w:r w:rsidRPr="00DB4822">
              <w:t>professor, NKE RTK NTCA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customs procedures on the Hungarian Post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dissertation tries to give an overview about the common work of the National Tax and Customs Administration and the Hungarian Post.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does, because one could barely find unified information about the subject.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a beginning, we can learn about the past of the two administrative organizations.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Than the dissertation gives relevant information about the laws which are define the background of the common work of the organizations.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that, the document provides the special rules of the customs procedures, which are concern to the customs clearances in the traffic of the Hungarian Post.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last, the dissertation demonstrates some kind of smuggling methods.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epilogue, there is a look ahead into the future of the common work of the National Tax and Customs Administration and the Hungarian Post.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94312">
    <w:multiLevelType w:val="hybridMultilevel"/>
    <w:lvl w:ilvl="0" w:tplc="66279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94312">
    <w:abstractNumId w:val="373943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67184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