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SZENDREY ZSUZSANNA</w:t>
            </w:r>
          </w:p>
          <w:p w:rsidR="00C275A3" w:rsidRDefault="00A96AEC" w:rsidP="00C275A3">
            <w:pPr>
              <w:pStyle w:val="Hallgatokepzes"/>
            </w:pPr>
            <w:r>
              <w:t>bűnügyi igazgatási bűnügyi nyomozó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Vári Vince r.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szaktanár,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Pszichoaktívra reaktívan vagy proaktívan? Az új pszichoaktív szerek törvényi szabályozásának hátulütői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keresem a választ, hogy a 2013. július 1étől hatályos Büntetőtörvénykönyvben megjelenő új bűncselekmény, az új pszichoaktív anyaggal visszaélés milyen hatással volt a kábítószerek fogyasztására. Azt szeretném megtudni, hogy az új pszichoaktív anyagok büntetendővé tétele óta a kábítószer fogyasztás nőtt, csökkent vagy stagnál. Ennek érdekében, mivel miskolci származású vagyok és a gyakorlatomat is ott töltöttem miskolci statisztikákra hagyatkozom.</w:t>
      </w:r>
      <w:r>
        <w:rPr>
          <w:color w:val="000000"/>
          <w:sz w:val="24"/>
          <w:szCs w:val="24"/>
        </w:rPr>
        <w:br/>
        <w:t xml:space="preserve">Természetesen bemutatom a témával kapcsolatos jogszabályokat és alapfogalmakat is.</w:t>
      </w:r>
      <w:r>
        <w:rPr>
          <w:color w:val="000000"/>
          <w:sz w:val="24"/>
          <w:szCs w:val="24"/>
        </w:rPr>
        <w:br/>
        <w:t xml:space="preserve">Ezentúl dolgozatomban kitérek azokra a törvényi hiányosságokra, törvényhézagokra, amelyek az új tényállás használatával a gyakorlatban felmerülnek és megpróbálok ezekre megoldást találni.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258694">
    <w:multiLevelType w:val="hybridMultilevel"/>
    <w:lvl w:ilvl="0" w:tplc="12485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258694">
    <w:abstractNumId w:val="982586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3432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