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SZENDREY</w:t>
            </w:r>
          </w:p>
          <w:p w:rsidR="00C275A3" w:rsidRDefault="00A96AEC" w:rsidP="00C275A3">
            <w:pPr>
              <w:pStyle w:val="Hallgatokepzes"/>
            </w:pPr>
            <w:r>
              <w:t>crime investigator</w:t>
            </w:r>
            <w:r>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vince vári</w:t>
            </w:r>
          </w:p>
          <w:p w:rsidR="00DB4822" w:rsidRDefault="00DB4822" w:rsidP="009763E0">
            <w:pPr>
              <w:pStyle w:val="Konzulensektitulus"/>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mistakes of new pszichoactives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I'm searching for answers to the new offense of abuse of new psychoactive substances appearing in force Penal Code 1 July 2013 was the impact of the consumption of drugs. I would like to know that since making the new psychoactive substances criminalization of drug use has increased, decreased or stagnant. To this end, since I'm born in Miskolc and the practice I spent there Miskolc relying on statistics.</w:t>
      </w:r>
      <w:r>
        <w:rPr>
          <w:color w:val="000000"/>
          <w:sz w:val="24"/>
          <w:szCs w:val="24"/>
        </w:rPr>
        <w:br/>
        <w:t xml:space="preserve">Of course, the basic concepts and introduce legislation on the subject.</w:t>
      </w:r>
      <w:r>
        <w:rPr>
          <w:color w:val="000000"/>
          <w:sz w:val="24"/>
          <w:szCs w:val="24"/>
        </w:rPr>
        <w:br/>
        <w:t xml:space="preserve">From now on my thesis addressed the legal deficiencies, gaps in the law that are using the new facts arise in practice and try to find a solution to these.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27823">
    <w:multiLevelType w:val="hybridMultilevel"/>
    <w:lvl w:ilvl="0" w:tplc="74608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7823">
    <w:abstractNumId w:val="252278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0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