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LINDA</w:t>
            </w:r>
          </w:p>
          <w:p w:rsidR="00C275A3" w:rsidRDefault="00A96AEC" w:rsidP="00C275A3">
            <w:pPr>
              <w:pStyle w:val="Hallgatokepzes"/>
            </w:pPr>
            <w:r>
              <w:t>Közlekedésrendészet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Sivadó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iskolai erőszak Magyarországon- helyzetértékelés és megoldási javaslatok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 témája az iskolán belüli erőszak, amely, a témaválasztás indoklásával és a hipotézissel kezdődik. Szükségesnek gondoltam az erőszak fogalmának tisztázását, amelyre több féle megközelítést is találtam. Az első fejezet magát a jelenséget mutatja be, hogy kik között alakulhat ki konfliktus helyzet. Különféle csoportosítások olvashatók az iskolai agresszió formáiról, helyszíneiről és mértékéről. A jelenség bemutatásának zárása képpen az intézmények lehetséges visszajelzéseit sorolom fel. Kutatómunkám része volt, hogy két igazgatóval készítettem interjút és a szőlő utcai javítóintézetben is beszélgettem pár gyermekkel. A célom ezzel a pár oldallal, hogy közvetlenebbül tudjam szemléltetni a magyarországi helyzetet. A dolgozat érdekesebbé tételének érdekében megemlítek pár külföldi példát és kutatási eredményt.</w:t>
      </w:r>
      <w:r>
        <w:rPr>
          <w:color w:val="000000"/>
          <w:sz w:val="24"/>
          <w:szCs w:val="24"/>
        </w:rPr>
        <w:br/>
        <w:t xml:space="preserve">A második nagy fejezet az iskolán belüli erőszak okait tartalmazza, amelyet két nagy csoport szerint soroltam be. Léteznek mikrokörnyezeti okok, mint például a családi háttér, a megfelelési kényszer és a diákok hátrányos helyzete. Iskolával kapcsolatos mikrokörnyezeti ok az iskola környezete, létszáma és az iskolaválasztás is. Másik nagy csoportja az iskolán belüli erőszak okainak a makrokörnyezeti okok. Makrokörnyezeti oknak számítanak az anyagi gondok, a versengés, tankötelezettség. Ide sorolhatók azok az okok is, amelyek általában már a meglévő konfliktus helyzetet súlyosbítják. Ilyen ok a drog és az alkohol. </w:t>
      </w:r>
      <w:r>
        <w:rPr>
          <w:color w:val="000000"/>
          <w:sz w:val="24"/>
          <w:szCs w:val="24"/>
        </w:rPr>
        <w:br/>
        <w:t xml:space="preserve">A dolgozat befejező egysége a jelenség megelőzéséről és az erőszak csökkentésének lehetőségeiről íródott. Először is az 1997. évi XXXI. törvénnyel szemléltetem, hogy a tanároknak nem csak lehetőség, de kötelessége a hatóság vagy a gyermek jóléti szolgálat felé jelezni, hogy ha gond van egy diákkal. A "Tévhitek a jelenséggel kapcsolatban " című alfejezettel azok munkáját szeretném elősegíteni, akik tenni akarnak az agresszió csökkentéséért, de a tévképzetek megnehezítik tevékenységüket. Az iskolán belüli erőszak megoldási lehetőségeként említem meg az elköteleződést. Magát a problémát nem oldja meg önmagában, de nélkülözhetetlen az eredményesség szempontjából. Megoldás lehet a problémára a szabadidő helyes kitöltése és a túltengő agresszió levezetése. Legújabb megoldási kísérlet a jelenség kezelésére az iskola rendőr intézménye. E téma felvezetése képpen régebbi, hasonló célú rendőrségi programokat is megemlítek. Mellékletként kutatómunkám eredményeként látható az ORFK által készített statisztikát.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01923">
    <w:multiLevelType w:val="hybridMultilevel"/>
    <w:lvl w:ilvl="0" w:tplc="39177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01923">
    <w:abstractNumId w:val="143019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9313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