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RENATA MARKI</w:t>
            </w:r>
          </w:p>
          <w:p w:rsidR="00C275A3" w:rsidRDefault="00A96AEC" w:rsidP="00C275A3">
            <w:pPr>
              <w:pStyle w:val="Hallgatokepzes"/>
            </w:pPr>
            <w:r>
              <w:t>Business Administration and Management</w:t>
            </w:r>
            <w:r>
              <w:br/>
            </w:r>
            <w:r w:rsidR="00E77B23">
              <w:t>BA, 7.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Pal Czegledi</w:t>
            </w:r>
          </w:p>
          <w:p w:rsidR="00DB4822" w:rsidRDefault="00DB4822" w:rsidP="00E11062">
            <w:pPr>
              <w:pStyle w:val="Konzulensek"/>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the sustainability of the fiscal policy and the ageing society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fiscal sustainability; ageing; debt ratio</w:t>
      </w:r>
      <w:r>
        <w:t xml:space="preserve"/>
      </w:r>
    </w:p>
    <w:p>
      <w:pPr>
        <w:widowControl w:val="on"/>
        <w:pBdr/>
        <w:spacing w:before="240" w:after="240" w:line="240" w:lineRule="auto"/>
        <w:ind w:left="0" w:right="0"/>
        <w:jc w:val="left"/>
      </w:pPr>
      <w:r>
        <w:rPr>
          <w:color w:val="000000"/>
          <w:sz w:val="24"/>
          <w:szCs w:val="24"/>
        </w:rPr>
        <w:t xml:space="preserve">In the past few decades, sustainability has become the focus of the fiscal policy investigations. It has been partially due to the fact that more and more developed countries show a continuous budget deficit and growing public debt.</w:t>
      </w:r>
      <w:r>
        <w:rPr>
          <w:color w:val="000000"/>
          <w:sz w:val="24"/>
          <w:szCs w:val="24"/>
        </w:rPr>
        <w:br/>
        <w:t xml:space="preserve">Since the 1980s, the developed regions have gone through a demographic structural change, which is called ageing. Due to continuously growing life expectancy and low birthrate, the ratio of the elders have been increasing and the ratio of the actives have been decreasing within societies. This phenomena has caused changes in the budgetary revenue and expenditure, the economic growth and the real interest rates. Therefore this also risks the sustainability of the national budget system. In my dissertation I am looking for an answer to the questions: in what scenarios is the fiscal policy sustainable, and in what way does the ageing society influence the sustainability of the fiscal policy?</w:t>
      </w:r>
      <w:r>
        <w:rPr>
          <w:color w:val="000000"/>
          <w:sz w:val="24"/>
          <w:szCs w:val="24"/>
        </w:rPr>
        <w:br/>
        <w:t xml:space="preserve">In my opinion, employment is the key to fiscal sustainability. If employment grows, the tax payers will grow as well and this will increase the tax revenue and the contribution income. In my thesis, I have depicted that the growth rate of the real GDP depends on the growth rate of the population, next to this, on the growth rate of the employed portion within, and the growth rate of the GDP per worker. Based on these, if the employment grows, the GDP will grow too.</w:t>
      </w:r>
      <w:r>
        <w:rPr>
          <w:color w:val="000000"/>
          <w:sz w:val="24"/>
          <w:szCs w:val="24"/>
        </w:rPr>
        <w:br/>
        <w:t xml:space="preserve">From a sustainability point of view, the other important factor is population growth, which not only has a significant role in increasing the GDP, but in increasing national revenue as well. We can talk about a sustainable debt ratio, if the debt ratio does not change compared to the previous period, but in this case the primary balance (in the GDP ratio) depends on the growth rate of the real GDP and the real interest rate.</w:t>
      </w:r>
      <w:r>
        <w:rPr>
          <w:color w:val="000000"/>
          <w:sz w:val="24"/>
          <w:szCs w:val="24"/>
        </w:rPr>
        <w:br/>
        <w:t xml:space="preserve">As a result of the ageing society, in the next 50 years, the real GDP will grow slower and according to my calculations, if the real interest rate is equal to, or higher than 2 percent, a significant primary surplus is needed in order for the debt ratio to stay level. However, growing national expenditures and the decreasing revenue lead to a primary balance decrease and thus go against sustainability.</w:t>
      </w:r>
      <w:r>
        <w:rPr>
          <w:color w:val="000000"/>
          <w:sz w:val="24"/>
          <w:szCs w:val="24"/>
        </w:rPr>
        <w:br/>
        <w:t xml:space="preserve">The process of ageing can be forecasted well, so with adequate reforms, the states can prepare for the effects and ensure sustainability.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87116">
    <w:multiLevelType w:val="hybridMultilevel"/>
    <w:lvl w:ilvl="0" w:tplc="72547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87116">
    <w:abstractNumId w:val="778871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35469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