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HOHL</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Farkas</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Natinality Act: for the minorities or the majority?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 mid-1980s a kind of revitalization can be observed among the traditional national minorities in Hungary. The Act LXXVII of 1993 on national and ethnic minorities has opened the door for the ethnic population to establish local ethnic governments. In consequence of the new Nationality Act of 2011 the establisment of ethnic goverments depends on the results of the last census. The purpose of the legislators is to reduce the so-called ethno-business, which means suffrage abuses to form local goverments without real ethnic background.</w:t>
      </w:r>
      <w:r>
        <w:rPr>
          <w:color w:val="000000"/>
          <w:sz w:val="24"/>
          <w:szCs w:val="24"/>
        </w:rPr>
        <w:br/>
        <w:t xml:space="preserve">In my applied research with the analysis of the local government network of the German minority in Hungary I would like to draw attention to the fact, that the ethnic identity can be hardly quantified or regulated by law. I search answers to the question whether or not were the amendments of laws in the last decades in the interest of the minorities and could they deal with the problems occured during the establishments of minority governments. My paper discusses current issues, related to the new Nationality Act, which was applied in practise during the municipal elections in 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93644">
    <w:multiLevelType w:val="hybridMultilevel"/>
    <w:lvl w:ilvl="0" w:tplc="15670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93644">
    <w:abstractNumId w:val="71693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353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