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KÁPOLNAI</w:t>
            </w:r>
          </w:p>
          <w:p w:rsidR="00C275A3" w:rsidRDefault="00A96AEC" w:rsidP="00C275A3">
            <w:pPr>
              <w:pStyle w:val="Hallgatokepzes"/>
            </w:pPr>
            <w:r>
              <w:t>Geographer</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KRISTÓF TAKÁCS</w:t>
            </w:r>
          </w:p>
          <w:p w:rsidR="00DB4822" w:rsidRDefault="00C275A3" w:rsidP="004D7940">
            <w:pPr>
              <w:pStyle w:val="Hallgatokepzes"/>
            </w:pPr>
            <w:r>
              <w:t>mathematics</w:t>
            </w:r>
            <w:r w:rsidR="00A96AEC">
              <w:br/>
              <w:t>BSc,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TAKÁCS</w:t>
            </w:r>
          </w:p>
          <w:p w:rsidR="00C275A3" w:rsidRDefault="00A96AEC" w:rsidP="00C275A3">
            <w:pPr>
              <w:pStyle w:val="Hallgatokepzes"/>
            </w:pPr>
            <w:r>
              <w:t>Geographer</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Dalma Handlerné Makkos</w:t>
            </w:r>
          </w:p>
          <w:p w:rsidR="00DB4822" w:rsidRDefault="00DB4822" w:rsidP="009763E0">
            <w:pPr>
              <w:pStyle w:val="Konzulensektitulus"/>
            </w:pPr>
            <w:r w:rsidRPr="00DB4822">
              <w:t>PhD student, ELTE TTK</w:t>
            </w:r>
          </w:p>
        </w:tc>
      </w:tr>
      <w:tr w:rsidR="00DB4822" w:rsidTr="00DB4822">
        <w:tc>
          <w:tcPr>
            <w:tcW w:w="9854" w:type="dxa"/>
          </w:tcPr>
          <w:p w:rsidR="00DB4822" w:rsidRPr="00DB4822" w:rsidRDefault="00DB4822" w:rsidP="009763E0">
            <w:pPr>
              <w:pStyle w:val="Konzulenseknev"/>
            </w:pPr>
            <w:r w:rsidRPr="00DB4822">
              <w:t>Hajnalka Lőcsei</w:t>
            </w:r>
          </w:p>
          <w:p w:rsidR="00DB4822" w:rsidRDefault="00DB4822" w:rsidP="009763E0">
            <w:pPr>
              <w:pStyle w:val="Konzulensektitulus"/>
            </w:pPr>
            <w:r w:rsidRPr="00DB4822">
              <w:t>professor's assistant, ELTE TTK</w:t>
            </w:r>
          </w:p>
        </w:tc>
      </w:tr>
      <w:tr w:rsidR="00DB4822" w:rsidTr="00DB4822">
        <w:tc>
          <w:tcPr>
            <w:tcW w:w="9854" w:type="dxa"/>
          </w:tcPr>
          <w:p w:rsidR="00DB4822" w:rsidRPr="00DB4822" w:rsidRDefault="00DB4822" w:rsidP="009763E0">
            <w:pPr>
              <w:pStyle w:val="Konzulenseknev"/>
            </w:pPr>
            <w:r w:rsidRPr="00DB4822">
              <w:t>János Schwertner</w:t>
            </w:r>
          </w:p>
          <w:p w:rsidR="00DB4822" w:rsidRDefault="00DB4822" w:rsidP="009763E0">
            <w:pPr>
              <w:pStyle w:val="Konzulensektitulus"/>
            </w:pPr>
            <w:r w:rsidRPr="00DB4822">
              <w:t>senior teacher,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economic development in rural areas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10-15 years, local economic development (LED) has become more significant and important in Hungary, similiarly to many countries in East-Central Europe. These initiations have been trying to utilize the special attributes that the settlements possess where this process can be observed. Our paper is focused on the local economics development in Hungary: we have examined four Hungarian settlements (Cserkeszőlő, Békésszentandrás, Bazsi and Lak) where the inhabitants are using LED principles to improve the economics of their parish. We have tried to identify the factors that can influence the success of these developments generally; moreover, we have been studying the correspondence of the public works programmes and LED. In addition, we also observed the significance of the local products in these settlements, and we determined how important the participation of the local government, the actors of the market and the civil population in the LED initiatives can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66360">
    <w:multiLevelType w:val="hybridMultilevel"/>
    <w:lvl w:ilvl="0" w:tplc="99958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66360">
    <w:abstractNumId w:val="28466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66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