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ÁMÁN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Tekla Papp Ph.D, habil.</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anomalies in the definitions of the customer and the product from the aspect of the effective regulations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Economic and social conditions are changing at an increasing speed and consumer protection responds to this by changing the regulations continuously. The reply can only be a subsequent reaction because it is the Hungarian Authority for Consumer Protection and Hungarian Competition Authority, which meets the problems first. They are followed by the courts, which can form a standpoint based on the results of the unified or different implementation of laws can be followed afterwards. This thought has become the basis of our research since both the European Court and the Competition Council developed the definition of consumer and product, which aspects were not always taken into consideration during creating the legislations.</w:t>
      </w:r>
      <w:r>
        <w:rPr>
          <w:color w:val="000000"/>
          <w:sz w:val="24"/>
          <w:szCs w:val="24"/>
        </w:rPr>
        <w:br/>
        <w:t xml:space="preserve">The Civil Code removed the juridical person from the concept of customer, and the Decree No. 74 of 2012 (VII. 25.) came into force, which first defined the definition of Hungarian product; therefore the change of legal practice must also be taken into consideration in the future, and the clarification of the status quo and the removal of anomalies become necessary.</w:t>
      </w:r>
      <w:r>
        <w:rPr>
          <w:color w:val="000000"/>
          <w:sz w:val="24"/>
          <w:szCs w:val="24"/>
        </w:rPr>
        <w:br/>
        <w:t xml:space="preserve">The comparison of the regulations is the main part of the research; in Hungarian, English and German languages alike. The main question is who can be considered as a consumer and what kind of products the consumer obtains during legal transactions: namely, who gets and what.</w:t>
      </w:r>
      <w:r>
        <w:rPr>
          <w:color w:val="000000"/>
          <w:sz w:val="24"/>
          <w:szCs w:val="24"/>
        </w:rPr>
        <w:br/>
        <w:t xml:space="preserve">Analysing the notions of consumer in the EU legal instruments, it can be concluded that the definition of customer is used in a narrower interpretation, with one exception when the word person is used. It can be further concluded that a juridical person can also be a consumer. The Hungarian regulations are less standardized, but it is more and more harmonized with the EU regulations, and the Civil Code already indicates it. In our research a question was arisen: would it cause discrimination if the juridical person had received this type of protection? If not, how can the discrimination be eliminated? For this, we have outlined an effective alternative.</w:t>
      </w:r>
      <w:r>
        <w:rPr>
          <w:color w:val="000000"/>
          <w:sz w:val="24"/>
          <w:szCs w:val="24"/>
        </w:rPr>
        <w:br/>
        <w:t xml:space="preserve">The „what” question requires a much more complex solution. The reason for this is that the legal analysis of the product definition was not carried out earlier. It is difficult to apply the Hungarian and EU definitions as they are treating the definitions of product and foodstuffs definitions as each other’s equivalents. They are thought to correlate to each other. In our research it was our priority to resolve this contradiction.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23070">
    <w:multiLevelType w:val="hybridMultilevel"/>
    <w:lvl w:ilvl="0" w:tplc="68351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23070">
    <w:abstractNumId w:val="59523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974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