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DÚL</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Tekla Papp Ph.D, habil</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common points of company law and inheritance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analyses the relationship of company law and inheritance law. There are not so many articles about the context of these law fields; however, as it is set out in the essay, this context can be examined from various aspects. The purpose of this work is to call attention with its thought-provoking tone for the increasing importance of these sections of civil law in our economic and social life. The thoughts set forth in the essay are based on the relevant statutes valid before 15 March 2014 and also on the relevant statutes came into force after this important and illustrious day of Hungarian civil law, as well on the points of view of jurisprudence and judicial practice concerning these matters.</w:t>
      </w:r>
    </w:p>
    <w:p>
      <w:pPr>
        <w:widowControl w:val="on"/>
        <w:pBdr/>
        <w:spacing w:before="240" w:after="240" w:line="240" w:lineRule="auto"/>
        <w:ind w:left="0" w:right="0"/>
        <w:jc w:val="left"/>
      </w:pPr>
      <w:r>
        <w:rPr>
          <w:color w:val="000000"/>
          <w:sz w:val="24"/>
          <w:szCs w:val="24"/>
        </w:rPr>
        <w:br/>
        <w:t xml:space="preserve">After briefly summarizing the relevant rules of inheritance, we examine the regulatory method of these areas of law, in regard to that they changed a lot by 15 March 2014. We also study the consequences of death of a member from the point of view certain types of companies, as it has a bigger influence in partnerships, as we can see. Following this so-called dynamic part we focus on the business share as part of a member’s estate, whether any derogation may apply to the succession of them comparing to the general rules of succession. Considering the higher amount of written material of both jurisprudence and judicial practice, we study the inheritance of business quotas in limited liability companies particularly. In the final section we made an attempt to solve some relevant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60428">
    <w:multiLevelType w:val="hybridMultilevel"/>
    <w:lvl w:ilvl="0" w:tplc="32175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60428">
    <w:abstractNumId w:val="19260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675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