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NAGY BARNA</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Tekla Papp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syndicate contract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Dr. Krisztina Nagy Barna – The syndicate contract</w:t>
      </w:r>
    </w:p>
    <w:p>
      <w:pPr>
        <w:widowControl w:val="on"/>
        <w:pBdr/>
        <w:spacing w:before="240" w:after="240" w:line="240" w:lineRule="auto"/>
        <w:ind w:left="0" w:right="0"/>
        <w:jc w:val="left"/>
      </w:pPr>
      <w:r>
        <w:rPr>
          <w:color w:val="000000"/>
          <w:sz w:val="24"/>
          <w:szCs w:val="24"/>
        </w:rPr>
        <w:t xml:space="preserve">In my thesis my aim is to present the syndicate contract, which specifies the company’s legal rights. In judicial practice this type of contract - not controlled by legal acts - is interpreted in terms of company law, in spite of the fact that it is basically a civil agreement.</w:t>
      </w:r>
    </w:p>
    <w:p>
      <w:pPr>
        <w:widowControl w:val="on"/>
        <w:pBdr/>
        <w:spacing w:before="240" w:after="240" w:line="240" w:lineRule="auto"/>
        <w:ind w:left="0" w:right="0"/>
        <w:jc w:val="left"/>
      </w:pPr>
      <w:r>
        <w:rPr>
          <w:color w:val="000000"/>
          <w:sz w:val="24"/>
          <w:szCs w:val="24"/>
        </w:rPr>
        <w:t xml:space="preserve">After the regime change, laws regulating companies, such as act IV, 2006 or act CXLIV, 1997, were based on mandatory regulations, whether they regarded the establishment of a company, or their operation. Therefore, if the parties wanted to develop a special cooperation with each other, their only option was the syndicate contract. Judicial practice was consistent in that if the company contract was contrary to the syndicate contract, the parts of the syndicate contract that did not comply with the company contract were invalid. The company contract formed the legal context putting thereby the atypical collaboration contract in a secondary, subordinate state.</w:t>
      </w:r>
    </w:p>
    <w:p>
      <w:pPr>
        <w:widowControl w:val="on"/>
        <w:pBdr/>
        <w:spacing w:before="240" w:after="240" w:line="240" w:lineRule="auto"/>
        <w:ind w:left="0" w:right="0"/>
        <w:jc w:val="left"/>
      </w:pPr>
      <w:r>
        <w:rPr>
          <w:color w:val="000000"/>
          <w:sz w:val="24"/>
          <w:szCs w:val="24"/>
        </w:rPr>
        <w:t xml:space="preserve">The syndicate contract contingency is not excluded by the new Civil Code, but it is not expressly regulated by it either, so it still remains an atypical collaboration contract. Act CXX, 2009 law states that if the parties agree differently in another contract which is not publically open then this agreement is invalid. In other words the new Civil Code tried to raise the judicial practice into law, keeping at the same time the primacy of company contract, but this was not successful.</w:t>
      </w:r>
    </w:p>
    <w:p>
      <w:pPr>
        <w:widowControl w:val="on"/>
        <w:pBdr/>
        <w:spacing w:before="240" w:after="240" w:line="240" w:lineRule="auto"/>
        <w:ind w:left="0" w:right="0"/>
        <w:jc w:val="left"/>
      </w:pPr>
      <w:r>
        <w:rPr>
          <w:color w:val="000000"/>
          <w:sz w:val="24"/>
          <w:szCs w:val="24"/>
        </w:rPr>
        <w:t xml:space="preserve">In terms of the new Civil Code “the organization and the operation rules of the legal entity can be regulated by the members”, in other words, the members of the companies are authorized to deviate from the rules of corporate law and regulate the terms of their memberships according to their own needs. Furthermore “The members of the legal entity in their statutes regulating their relationships between each other or that towards the legal entity, and also regulating the operation and organization of the legal entity, may deviate from the provisions of the law”, which offers a wide variety of opportunities for the stakeholders. In this respect, the existence of the syndicate contract is not justifiable, as the statute itself provides an opportunity for the special agreement.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87856">
    <w:multiLevelType w:val="hybridMultilevel"/>
    <w:lvl w:ilvl="0" w:tplc="15922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87856">
    <w:abstractNumId w:val="87887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249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