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ZÁDORI BEÁTA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Papp Tekla Ph.D, habil.</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apport tárgyának elméleti és gyakorlati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gazdasági társaságok alapításának és működésének a vagyoni hozzájárulás elengedhetetlen feltétele. A hozzájárulás rendelkezésre bocsátása az alapító és belépő tagok kötelezettsége, ami pénzbeli és nem pénzbeli formában történhet. Dolgozatomban a nem pénzbeli hozzájárulás rendelkezésre bocsátásának lehetséges formáit jártam körbe. A téma aktualitását adja, hogy az új Polgári Törvénykönyv hatályba lépésével az erre vonatkozó szabályozás is megváltozott.</w:t>
      </w:r>
    </w:p>
    <w:p>
      <w:pPr>
        <w:widowControl w:val="on"/>
        <w:pBdr/>
        <w:spacing w:before="240" w:after="240" w:line="240" w:lineRule="auto"/>
        <w:ind w:left="0" w:right="0"/>
        <w:jc w:val="left"/>
      </w:pPr>
      <w:r>
        <w:rPr>
          <w:color w:val="000000"/>
          <w:sz w:val="24"/>
          <w:szCs w:val="24"/>
        </w:rPr>
        <w:t xml:space="preserve">Dolgozatom első részében a három gazdasági társaságokról szóló törvényt és az új Polgári Törvénykönyv apportra vonatkozó szabályait tártam fel, második részében pedig az egyes apporttárgyak rendelkezésre bocsátásának lehetőségét vizsgáltam meg. Ennek során nagy hangsúlyt fektettem az első gazdasági társaságokról szóló törvény óta kialakult bírói gyakorlat széleskörű feldolgozására és értelmezésére, mely alapján az egyes apporttárgyak esetében a rendelkezésre bocsátás lehetőségének, és az azzal kapcsolatos kritériumoknak a megfogalmazására törekedtem.</w:t>
      </w:r>
    </w:p>
    <w:p>
      <w:pPr>
        <w:widowControl w:val="on"/>
        <w:pBdr/>
        <w:spacing w:before="240" w:after="240" w:line="240" w:lineRule="auto"/>
        <w:ind w:left="0" w:right="0"/>
        <w:jc w:val="left"/>
      </w:pPr>
      <w:r>
        <w:rPr>
          <w:color w:val="000000"/>
          <w:sz w:val="24"/>
          <w:szCs w:val="24"/>
        </w:rPr>
        <w:t xml:space="preserve">Elsősorban arra kerestem a választ, hogy a nem pénzbeli vagyoni hozzájárulások rendelkezésre bocsátása az egyes tárgyak esetében milyen módon és feltételekkel valósítható meg? Továbbá milyen ismérvekkel kell bírjon egy apporttárgy, ahhoz hogy rendelkezésre bocsátható legyen és melyek azok a tárgyak, amik ki vannak zárva e körből? A kérdésekre adandó válasz kutatása során a dolgokat, egyes szellemi alkotásokat, a vagyoni értékű jogokat, az üzletrészt és az értékpapírt vizsgáltam.</w:t>
      </w:r>
    </w:p>
    <w:p>
      <w:pPr>
        <w:widowControl w:val="on"/>
        <w:pBdr/>
        <w:spacing w:before="240" w:after="240" w:line="240" w:lineRule="auto"/>
        <w:ind w:left="0" w:right="0"/>
        <w:jc w:val="left"/>
      </w:pPr>
      <w:r>
        <w:rPr>
          <w:color w:val="000000"/>
          <w:sz w:val="24"/>
          <w:szCs w:val="24"/>
        </w:rPr>
        <w:t xml:space="preserve">Az eddig kialakult gyakorlat feltárása során arra is kitértem, hogy az új Ptk. alapján milyen változások várhatóak az egyes tárgyak apportjával kapcsolatban. Az új Ptk. az apport általános fogalmaként dolognak és vagyoni értékű jognak az átruházását rögzíti, és a gazdasági társaságokról szóló korábbi törvényekkel szemben elhagyja a szellemi alkotás megnevezést. Ez felveti a kérdést, hogy a szellemi alkotások apportjára a jövőben sor kerülhet-e, és ha igen, hogyan? Az átruházás, mint az apportálás módja, szintén szűkítheti az eddigi gyakorlat alapján kialakult apportálható dolgok és jogok körét, de pontosan mely apporttárgyakat érinthet és mennyiben? Dolgozatomban többek között ezen kérdések megválaszolására törekedtem.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43526">
    <w:multiLevelType w:val="hybridMultilevel"/>
    <w:lvl w:ilvl="0" w:tplc="63856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43526">
    <w:abstractNumId w:val="11543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94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