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ERZSÉBET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Karsai Krisztina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gazdálkodó szervezet vezető tisztségviselőjének párhuzamos büntetőjogi felelőssége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gazdálkodó szervezeten belül elkövetett bűncselekmények felderítéséhez és megelőzéséhez jelentős társadalmi-gazdasági érdek fűződik, hiszen e bűncselekmények körében magas a látencia. Az elmúlt évtizedben az Európai Unió különböző instrumentumokkal kötelezte a tagállamokat arra, hogy építsenek be saját jogrendszerükbe olyan tényállásokat, amelyek képesek hatékonyan szolgálni a szervezeteken belüli visszaélések felderítését, megelőzését. Azzal a kérdéssel, hogy miképpen tud a büntetőjog a saját eszközeivel a szervezeten belül elkövetett, tipikusan a szervezet financiális érdekeit szolgáló bűncselekmények ellen fellépni, hogyan lehet e bűncselekmények elkövetését minimalizálni, miképpen lehet a szervezet tagjait jogkövető magatartásra bírni büntetőjogi eszközökkel egy fiatal jogterület, az ún. criminal compliance foglalkozik. A cél megvalósításának egyik hatékony eszköze a vezetői szint presszionálása, azaz a gazdálkodó szervezet vezető tisztségviselőjére történő büntetőjogi nyomásgyakorlás. A vezető tisztségviselő büntetőjogi felelősségének megállapítására számos olyan büntetőjogi eszköz rendelkezésre áll, mely megfelel az adott jogrendszer hagyományainak, elveinek, dogmatikai tételeinek, egészen a különböző tettesi-részei alakzatoktól az objektív felelősség alapításáig.</w:t>
      </w:r>
      <w:r>
        <w:rPr>
          <w:color w:val="000000"/>
          <w:sz w:val="24"/>
          <w:szCs w:val="24"/>
        </w:rPr>
        <w:br/>
        <w:t xml:space="preserve">Dolgozatomban arra vállalkozom, hogy a criminal compliance magyar és német eszközrendszerének áttekintéséve megválaszoljam a kérdést: hogyan vonható felelősségre a gazdálkodó szervezet vezető tisztségviselője akkor, ha a gazdálkodó szervezet tagja bűncselekményt követ el, és a vezető tisztségviselőt terhelő felügyeleti-ellenőrzési kötelezettség elmulasztása teszi lehetővé a bűncselekmény elkövetését, vagy e kötelezettség teljesítése a bűncselekmény elkövetését megakadályozhatta volna. Választ keresek a kérdésre továbbá: Milyen mértékben indokolt és megengedett a büntetőjogi eszközökkel történő beavatkozás, az individuális büntetőjogi felelősség határainak kitágítása?</w:t>
      </w:r>
      <w:r>
        <w:rPr>
          <w:color w:val="000000"/>
          <w:sz w:val="24"/>
          <w:szCs w:val="24"/>
        </w:rPr>
        <w:br/>
        <w:t xml:space="preserve">Dolgozatomban kiemelt figyelmet fordítok a gazdálkodó szervezet vezető tisztségviselőjének párhuzamos büntetőjogi felelősségét deklaráló magyar tényállások kritikai-dogmatikai elemzésére. Végül a tényállások dogmatikai elemzése, valamint a nemzetközi összehasonlítás során levont konzekvenciáim alapján javaslatot teszek egy esetleges optimális szabályozás megvalósítására.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118500">
    <w:multiLevelType w:val="hybridMultilevel"/>
    <w:lvl w:ilvl="0" w:tplc="249566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118500">
    <w:abstractNumId w:val="401185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65801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