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MOLNÁR</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Karsai</w:t>
            </w:r>
          </w:p>
          <w:p w:rsidR="00DB4822" w:rsidRDefault="00DB4822" w:rsidP="00E11062">
            <w:pPr>
              <w:pStyle w:val="Konzulensek"/>
            </w:pPr>
            <w:r w:rsidRPr="00DB4822">
              <w:t>full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criminal responsibility of representatives of business entities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Significant social-economical interests occurs to the detect and prevent crimes committed within economic organizations because the latency is high among these crimes. In the last decade, the European Union enacted a number of legal instruments to oblige the member states to incorporate statutory definitions in their own legal systems, which could effectively serve the detection and prevention of illegal actions within the organization. A new field of law, the so-called criminal compliance deals the questions, how criminal law can combat with its own instruments crimes being typically latent and serving the financial interests of the organization, how the prevalence of these crimes could be minimized, and how the instruments of criminal law can motivate the members of the organization to a law-abiding behavior. One of the effective instrument of the realization of this goal is to exercise pressure on the directing level, the representatives of business entities. This can be realized by several criminal instruments, which fulfill the traditions, principles, and dogmatic thesis of the given legal system, beginning from the different type of perpetrators and participants to the forms, which establishes objective responsibility.</w:t>
      </w:r>
      <w:r>
        <w:rPr>
          <w:color w:val="000000"/>
          <w:sz w:val="24"/>
          <w:szCs w:val="24"/>
        </w:rPr>
        <w:br/>
        <w:t xml:space="preserve">In my study – with the overview the Hungarian and the German instrument system of criminal compliance – I would like to undertake the answer for this question: how can we impeach the representatives of the business entities, when a member of the business entity commit a crime and the omission of the control obligations makes possible the realization of this crime; or the fulfillment of this obligation could hinder the commission of the crime. I’m seeking to find an answer also to this question: To what extent is it justified and allowable to intervene with the instruments of criminal law, so expanding the scope of the individual criminal responsibility?</w:t>
      </w:r>
      <w:r>
        <w:rPr>
          <w:color w:val="000000"/>
          <w:sz w:val="24"/>
          <w:szCs w:val="24"/>
        </w:rPr>
        <w:br/>
        <w:t xml:space="preserve">In my paper, I drive particular attention to the dogmatic-critical analysis of Hungarian statutory definitions, which declare the parallel criminal liability of the representatives of business entities. Finally, I take a proposal to the realization of an optimal regulation, following from the consequences I draw in the course of the dogmatic analysis of statutory definitions and international comparison.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04670">
    <w:multiLevelType w:val="hybridMultilevel"/>
    <w:lvl w:ilvl="0" w:tplc="20436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04670">
    <w:abstractNumId w:val="93304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184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