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FARKAS EVELYN</w:t>
            </w:r>
          </w:p>
          <w:p w:rsidR="00C275A3" w:rsidRDefault="00A96AEC" w:rsidP="00C275A3">
            <w:pPr>
              <w:pStyle w:val="Hallgatokepzes"/>
            </w:pPr>
            <w:r>
              <w:t>tájépítészmérnöki mesterszak</w:t>
            </w:r>
            <w:r>
              <w:br/>
            </w:r>
            <w:r w:rsidR="00E77B23">
              <w:t>MSc, 5. félév</w:t>
            </w:r>
          </w:p>
          <w:p w:rsidR="00C265CE" w:rsidRPr="009E5FF1" w:rsidRDefault="00E77B23" w:rsidP="00C275A3">
            <w:pPr>
              <w:pStyle w:val="Hallgatokepzes"/>
              <w:rPr>
                <w:b/>
                <w:caps/>
              </w:rPr>
            </w:pPr>
            <w:r>
              <w:t>Budapesti Corvinus Egyetem</w:t>
            </w:r>
            <w:r w:rsidR="00C275A3">
              <w:br/>
            </w:r>
            <w:r w:rsidR="00DB4822">
              <w:t>Tájépítészeti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Balogh Péter István</w:t>
            </w:r>
          </w:p>
          <w:p w:rsidR="00DB4822" w:rsidRDefault="00DB4822" w:rsidP="00E11062">
            <w:pPr>
              <w:pStyle w:val="Konzulensek"/>
            </w:pPr>
            <w:r w:rsidRPr="00DB4822">
              <w:t>egyetemi docens,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Extrém sportok és egyedi játszófelületek közterületi integrációja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extrém sportok eredeti fogalmi tartalmukhoz képest jelen tanulmányban csak azon ágazatokra szűkítve jelennek meg, melyeknek köztérhasználati vetületük jelentős. Célom rávilágítani az extrém sportok és az egyedi játszófelületek közötti tájépítészeti vonatkozású kapcsolódási pontokra, szakirodalmi példák alapján felállítani egy helyszíni vizsgálatokkal is alátámasztott osztályozási rendszert, majd a kapott eredményekre alapozva öszegyűjteni egy tervezési segédletet főbb alapelveit, az egyedi játszófelületekbe integrált, multifunkcionális extrém sportterületekre vonatkozóan.</w:t>
      </w:r>
    </w:p>
    <w:p>
      <w:pPr>
        <w:widowControl w:val="on"/>
        <w:pBdr/>
        <w:spacing w:before="240" w:after="240" w:line="240" w:lineRule="auto"/>
        <w:ind w:left="0" w:right="0"/>
        <w:jc w:val="left"/>
      </w:pPr>
      <w:r>
        <w:rPr>
          <w:color w:val="000000"/>
          <w:sz w:val="24"/>
          <w:szCs w:val="24"/>
        </w:rPr>
        <w:t xml:space="preserve">Összességében elmondható, hogy az extrém sportok képviselőinek igényei valós problémákra hívják fel a figyelmet, hiszen éppen a tizenévesek, fiatalok számára épülnek legkevésbé rekreációs célú közterületek, melyek alkalmasak az ő igényeiknek megfelelő térhasználatra. Bár a rendelkezésre álló gazdasági források, vagy a helyszíni adottságok nem mindig teszik lehetővé extrém parkok építését, ugyanakkor megoldást jelenthet az extrém sportok integrációja, mivel egyszerű, kreatív tájépítészeti eszközökkel kilakítható jól használható, hosszútávon fenntartható játéktér a fiatalok számára. Az ilyen módon formált egyedi arculatú, multifunkcionális terek kialakításának módja szinte végtelen lehetőséget hordoz magában, melyek elemzése további kutatások tárgya lehet a jövőben.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48177">
    <w:multiLevelType w:val="hybridMultilevel"/>
    <w:lvl w:ilvl="0" w:tplc="85779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48177">
    <w:abstractNumId w:val="124481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10570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