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BODOR PETRA</w:t>
            </w:r>
          </w:p>
          <w:p w:rsidR="00C275A3" w:rsidRDefault="00A96AEC" w:rsidP="00C275A3">
            <w:pPr>
              <w:pStyle w:val="Hallgatokepzes"/>
            </w:pPr>
            <w:r>
              <w:t>Geológus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LOVRITY VENCEL</w:t>
            </w:r>
          </w:p>
          <w:p w:rsidR="00DB4822" w:rsidRDefault="00C275A3" w:rsidP="004D7940">
            <w:pPr>
              <w:pStyle w:val="Hallgatokepzes"/>
            </w:pPr>
            <w:r>
              <w:t>Geológus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Erőss Anita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Boltív-forrás vízhozamának és fizikai, kémiai paramétereinek változása a csapadékesemények és a Duna vízállás függvényében. Értékelés archív adatok és jelenlegi mérések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Budai Termálkarszt három fő megcsapolódási területeinek egyikén, a Rózsadombon és környékén hévforrások (&gt;36,7°C) és langyos források (20-36,7°C) egyaránt megcsapolódnak. A területre felállított koncepcionális modell szerint a langyos források vize regionális áramlási rendszerből származó melegebb vizek és lokális/intermedier áramlási rendszerből származó hidegebb vizek keveredésének eredményei. Ezen langyos források egyikét, a természetes megcsapolódású Molnár János-barlang – Malom-tó – Boltív-forrás rendszerét vizsgáltuk.</w:t>
      </w:r>
      <w:r>
        <w:rPr>
          <w:color w:val="000000"/>
          <w:sz w:val="24"/>
          <w:szCs w:val="24"/>
        </w:rPr>
        <w:br/>
        <w:t xml:space="preserve">Az 1950-es évekből származó archív adatok mellett saját méréseket is végeztünk a Malom-tavat a Dunával összekötő csatornában 2013 áprilisa és júniusa között, ahol vízhozamot, hőmérsékletet, pH-t és fajlagos elektromos vezetőképességet mértünk. Emellett a Malom-tóban elhelyezett, folyamatos mérést biztosító Dataqua műszer adatait használtuk fel, mely a vízszintet, hőmérsékletet és fajlagos elektromos vezetőképességet mérte 2012. október és 2013. július között.</w:t>
      </w:r>
      <w:r>
        <w:rPr>
          <w:color w:val="000000"/>
          <w:sz w:val="24"/>
          <w:szCs w:val="24"/>
        </w:rPr>
        <w:br/>
        <w:t xml:space="preserve">Dolgozatunk célja az volt, hogy a rendszer paramétereinek változásain keresztül tanulmányozzuk a mögöttes karsztrendszer szerkezetét, fejlettségét. A területen fontos szerepe van a Dunának, mint helyi erózióbázisnak, így a rendszer paramétereit a folyó vízállás változásaival vetettük össze, valamint a csapadékeseményekkel.</w:t>
      </w:r>
      <w:r>
        <w:rPr>
          <w:color w:val="000000"/>
          <w:sz w:val="24"/>
          <w:szCs w:val="24"/>
        </w:rPr>
        <w:br/>
        <w:t xml:space="preserve">A paraméterek változékonyságát diagramokkal és leíró statisztikával, a Duna vízállás változásának és a csapadék azonnali hatását korrelációval, késleltetett hatásukat pedig keresztkorrelációval vizsgáltuk.</w:t>
      </w:r>
      <w:r>
        <w:rPr>
          <w:color w:val="000000"/>
          <w:sz w:val="24"/>
          <w:szCs w:val="24"/>
        </w:rPr>
        <w:br/>
        <w:t xml:space="preserve">A módszerek alkalmazása során arra jutottunk, hogy a csapadékesemények nincsenek hatással a rendszer paramétereire. Ennek a karsztrendszer nagy tározóképessége lehet az oka. A Duna és a rendszer összefüggése egyértelműen kimutatható volt, kapcsolatukat a korábban a Gellért-hegy előterére leírt speciális modell írja le, miszerint a folyó magas vízállása idején a medrében megcsapolódó szökevényforrások megcsapolódása a parti régióba tevődik át, ezáltal megváltoztatva a parti források paramétereit. A kapcsolat erősségében továbbá évszakos változás látszik.</w:t>
      </w:r>
      <w:r>
        <w:rPr>
          <w:color w:val="000000"/>
          <w:sz w:val="24"/>
          <w:szCs w:val="24"/>
        </w:rPr>
        <w:br/>
        <w:t xml:space="preserve">Munkánk nem csak elméleti, hanem gyakorlati szempontból is fontos. A geotermikus hasznosítás során elengedhetetlen a paraméterek változékonyságának ismerete. Eredményeink alapján a Boltív-forrás vizének geotermikus célú hasznosítása gazdaságosan működtethető lenne.</w:t>
      </w:r>
      <w:r>
        <w:rPr>
          <w:color w:val="000000"/>
          <w:sz w:val="24"/>
          <w:szCs w:val="24"/>
        </w:rPr>
        <w:br/>
        <w:t xml:space="preserve">Munkánk az OTKA NK 101356 számú pályázat keretében valósult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736952">
    <w:multiLevelType w:val="hybridMultilevel"/>
    <w:lvl w:ilvl="0" w:tplc="44094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736952">
    <w:abstractNumId w:val="367369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59623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