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PETRA BODOR</w:t>
            </w:r>
          </w:p>
          <w:p w:rsidR="00C275A3" w:rsidRDefault="00A96AEC" w:rsidP="00C275A3">
            <w:pPr>
              <w:pStyle w:val="Hallgatokepzes"/>
            </w:pPr>
            <w:r>
              <w:t>Geology</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VENCEL LOVRITY</w:t>
            </w:r>
          </w:p>
          <w:p w:rsidR="00DB4822" w:rsidRDefault="00C275A3" w:rsidP="004D7940">
            <w:pPr>
              <w:pStyle w:val="Hallgatokepzes"/>
            </w:pPr>
            <w:r>
              <w:t>Geology</w:t>
            </w:r>
            <w:r w:rsidR="00A96AEC">
              <w:br/>
              <w:t>MSc, 1.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Faculty of Science</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Anita Erőss</w:t>
            </w:r>
          </w:p>
          <w:p w:rsidR="00DB4822" w:rsidRDefault="00DB4822" w:rsidP="00E11062">
            <w:pPr>
              <w:pStyle w:val="Konzulensek"/>
            </w:pPr>
            <w:r w:rsidRPr="00DB4822">
              <w:t>research fellow,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Evaluation of temporal variations of the discharge and physico-chemical parameters of Boltív Spring compared to the precipitation and the water level of the Danube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Rózsadomb is one of the three main discharge zones of the Buda Thermal Karst, where both hot (&gt;36,7°C) and lukewarm (20-36,7°C) springs arise. According to the conceptual model of the area the lukewarm springs are the results of mixing of two main components: a hot one which comes from regional flow systems and a cold one which comes from local/intermediate flow systems. We studied one of these lukewarm springs, the Molnár János Cave – Malom Lake – Boltív Spring system.</w:t>
      </w:r>
      <w:r>
        <w:rPr>
          <w:color w:val="000000"/>
          <w:sz w:val="24"/>
          <w:szCs w:val="24"/>
        </w:rPr>
        <w:br/>
        <w:t xml:space="preserve">Beside the archive data of the 1950’s, we used these results of our measurements. We measured the discharge, temperature, pH and electric conductivity from April 2013 to June 2013. Beside we put a continuous measuring device (Dataqua) into the Malom Lake. It measured the level of the lake, the temperature and the electric conductivity from October 2012 to July 2013.</w:t>
      </w:r>
      <w:r>
        <w:rPr>
          <w:color w:val="000000"/>
          <w:sz w:val="24"/>
          <w:szCs w:val="24"/>
        </w:rPr>
        <w:br/>
        <w:t xml:space="preserve">Our aim was to examine the karst system’s structure and maturity through the temporal variation of the parameters. The Danube is really important in the area, as it represents the local base level of erosion. So we compared the system’s parameters to the water level of the Danube and to the precipitation.</w:t>
      </w:r>
      <w:r>
        <w:rPr>
          <w:color w:val="000000"/>
          <w:sz w:val="24"/>
          <w:szCs w:val="24"/>
        </w:rPr>
        <w:br/>
        <w:t xml:space="preserve">For the study of the variability of the parameters we made graphs and descriptive statistics. In order to analyze the contemporary effect of the precipitation and the changes of the water level of the Danube we used correlation and to determine their delayed effect we used cross correlation.</w:t>
      </w:r>
      <w:r>
        <w:rPr>
          <w:color w:val="000000"/>
          <w:sz w:val="24"/>
          <w:szCs w:val="24"/>
        </w:rPr>
        <w:br/>
        <w:t xml:space="preserve">According to our results the precipitation does not affect the studied system’s parameters. Probably it is due to the large storage capacity of the karst system. But there is connection between the Danube and the parameters of the system. The interaction can be described by the special model: parallel with increasing water level of the Danube during flood, the thermal water discharge into the river bed is displaced to the riverside, which causes changes in the parameters of the springs. The strength of the connection has a seasonal variation.</w:t>
      </w:r>
      <w:r>
        <w:rPr>
          <w:color w:val="000000"/>
          <w:sz w:val="24"/>
          <w:szCs w:val="24"/>
        </w:rPr>
        <w:br/>
        <w:t xml:space="preserve">With our measures we also strengthen that this nowadays unused spring could be used for geothermal purposes e.g. by heat pump systems. It could be an economical and sustainable resource for geothermal usage.</w:t>
      </w:r>
      <w:r>
        <w:rPr>
          <w:color w:val="000000"/>
          <w:sz w:val="24"/>
          <w:szCs w:val="24"/>
        </w:rPr>
        <w:br/>
        <w:t xml:space="preserve">The Hungarian Scientific Research Fund (OTKA) has provided financial support to the project under the grant agreement no. NK 101356.</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268074">
    <w:multiLevelType w:val="hybridMultilevel"/>
    <w:lvl w:ilvl="0" w:tplc="903273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268074">
    <w:abstractNumId w:val="672680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42027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