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KITTI MITZINGER</w:t>
            </w:r>
          </w:p>
          <w:p w:rsidR="00C275A3" w:rsidRDefault="00A96AEC" w:rsidP="00C275A3">
            <w:pPr>
              <w:pStyle w:val="Hallgatokepzes"/>
            </w:pPr>
            <w:r>
              <w:t>Teacher of Physical Education - Teacher of Geography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 Morvay-Sey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Pursuance study of martial art sin regard of school education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Martial arts; school; curriculum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Pursuance study of martial art sin regard of school education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research is to show the practical materialization of martial arts and self-defence as curricular subjects through a longitudinal examination at primary and secondary schools in Pécs.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surveys examined the change of tutorial approach in 2002, 2008 and 2013 furthermore the personal and material conditions and the educational willingness of teachers towards certain themes.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Martial arts have been a part of Physical Education and culture-area of sports which can be considered long enough to accomplish the curricular regulations in practice.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examination I used specialized literature and made documents analysis I applied a conference method.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Processing data was made with Excel and SPSS programmes through a descriptive and induction statistical method. Further I carried out a comparison with earlier published results in this topic.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shed light on those factors that could be applied in education to increase the level of martial arts education at primary and secondary schools.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42411">
    <w:multiLevelType w:val="hybridMultilevel"/>
    <w:lvl w:ilvl="0" w:tplc="88955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42411">
    <w:abstractNumId w:val="82342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483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