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TÓTH</w:t>
            </w:r>
          </w:p>
          <w:p w:rsidR="00C275A3" w:rsidRDefault="00A96AEC" w:rsidP="00C275A3">
            <w:pPr>
              <w:pStyle w:val="Hallgatokepzes"/>
            </w:pPr>
            <w:r>
              <w:t>Chemistry</w:t>
            </w:r>
            <w:r>
              <w:br/>
            </w:r>
            <w:r w:rsidR="00E77B23">
              <w:t>MSc, 10.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Ágnes Szabados</w:t>
            </w:r>
          </w:p>
          <w:p w:rsidR="00DB4822" w:rsidRDefault="00DB4822" w:rsidP="00BA6BAF">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Lower bounds for the energies of molecules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lower bound; bracketing function; variation principle; molecular ground state; Davidson algorithm</w:t>
      </w:r>
      <w:r>
        <w:t xml:space="preserve"/>
      </w:r>
    </w:p>
    <w:p>
      <w:pPr>
        <w:widowControl w:val="on"/>
        <w:pBdr/>
        <w:spacing w:before="240" w:after="240" w:line="240" w:lineRule="auto"/>
        <w:ind w:left="0" w:right="0"/>
        <w:jc w:val="left"/>
      </w:pPr>
      <w:r>
        <w:rPr>
          <w:color w:val="000000"/>
          <w:sz w:val="24"/>
          <w:szCs w:val="24"/>
        </w:rPr>
        <w:t xml:space="preserve">In quantum chemistry the usage of upper bounds to the energy is well spread. In contrast to upper bounds, lower bounds are barely used, because they are much more complicated and can only be applied if appropriate conditions are fulfilled.</w:t>
      </w:r>
      <w:r>
        <w:rPr>
          <w:color w:val="000000"/>
          <w:sz w:val="24"/>
          <w:szCs w:val="24"/>
        </w:rPr>
        <w:br/>
        <w:t xml:space="preserve">Löwdin’s bracketing function gives a lower bound if the argument is an appropriate upper bound. In general the argumentand the value of the function „brackets” at least oneeigenvalue. </w:t>
      </w:r>
      <w:r>
        <w:rPr>
          <w:color w:val="000000"/>
          <w:sz w:val="24"/>
          <w:szCs w:val="24"/>
        </w:rPr>
        <w:br/>
        <w:t xml:space="preserve">Calculation of the lower bound is computionally demanding due to the operator inverse. To explore practical approaches we used several numerical approximations. The approximate formulae are evaluated at each step of a Davidson full CI iteration sequence on the example of simple molecules.</w:t>
      </w:r>
      <w:r>
        <w:rPr>
          <w:color w:val="000000"/>
          <w:sz w:val="24"/>
          <w:szCs w:val="24"/>
        </w:rPr>
        <w:br/>
        <w:t xml:space="preserve">Based on a variational principle which holds for this lower bound we studied constrained optimization of the reference function by maximizing the lower bound. We showed that solving the linearised simultaneous equations for the wave function, the nonsymmetric formula results the CEPA0 energy.</w:t>
      </w:r>
    </w:p>
    <w:p>
      <w:pPr>
        <w:widowControl w:val="on"/>
        <w:pBdr/>
        <w:spacing w:before="240" w:after="240" w:line="240" w:lineRule="auto"/>
        <w:ind w:left="0" w:right="0"/>
        <w:jc w:val="left"/>
      </w:pPr>
      <w:r>
        <w:rPr>
          <w:color w:val="000000"/>
          <w:sz w:val="24"/>
          <w:szCs w:val="24"/>
        </w:rPr>
        <w:drawing>
          <wp:inline distT="0" distB="0" distL="0" distR="0">
            <wp:extent cx="3484800" cy="2440800"/>
            <wp:docPr id="20159986" name="name1551134c406a02" descr="imgtmp_27410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7410_int_1.jpg"/>
                    <pic:cNvPicPr/>
                  </pic:nvPicPr>
                  <pic:blipFill>
                    <a:blip r:embed="rId1551134c4069a4" cstate="print"/>
                    <a:stretch>
                      <a:fillRect/>
                    </a:stretch>
                  </pic:blipFill>
                  <pic:spPr>
                    <a:xfrm>
                      <a:off x="0" y="0"/>
                      <a:ext cx="3484800" cy="2440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55866">
    <w:multiLevelType w:val="hybridMultilevel"/>
    <w:lvl w:ilvl="0" w:tplc="14886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255866">
    <w:abstractNumId w:val="702558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476482" Type="http://schemas.openxmlformats.org/officeDocument/2006/relationships/numbering" Target="numbering.xml"/><Relationship Id="rId1551134c4069a4" Type="http://schemas.openxmlformats.org/officeDocument/2006/relationships/image" Target="media/imgrId1551134c4069a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