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BÁLINT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Szemethy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üregi nyúl élőhelypreferenciájának és környezetére gyakorolt hatásának vizsgálata egy telepített erdőben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 területéről az üregi nyúl a XX. század folyamán szinte teljesen eltűnt. Napjainkban a faj gyors állománynövekedést mutat.</w:t>
      </w:r>
      <w:r>
        <w:rPr>
          <w:color w:val="000000"/>
          <w:sz w:val="24"/>
          <w:szCs w:val="24"/>
        </w:rPr>
        <w:br/>
        <w:t xml:space="preserve">Dolgozatom célja, hogy segítsem a fajjal történő gazdálkodást és eloszlassam a fajról kialakult tévhiteket.</w:t>
      </w:r>
      <w:r>
        <w:rPr>
          <w:color w:val="000000"/>
          <w:sz w:val="24"/>
          <w:szCs w:val="24"/>
        </w:rPr>
        <w:br/>
        <w:t xml:space="preserve">Vizsgálataimat elsődlegesen gazdasági erdőkben végeztem. Fő erdőalkotó fajok a fehér akác, az erdei fenyő és nemesnyarak. A cserjeszintben főként a kései meggy dominál.</w:t>
      </w:r>
      <w:r>
        <w:rPr>
          <w:color w:val="000000"/>
          <w:sz w:val="24"/>
          <w:szCs w:val="24"/>
        </w:rPr>
        <w:br/>
        <w:t xml:space="preserve">Az üregi nyúl várait feltérképeztem, majd a kotorékok helyzetét vegetációtérképen ábrázoltam. Ez képezte a későbbi élőhely-preferencia vizsgálatok alapját.</w:t>
      </w:r>
      <w:r>
        <w:rPr>
          <w:color w:val="000000"/>
          <w:sz w:val="24"/>
          <w:szCs w:val="24"/>
        </w:rPr>
        <w:br/>
        <w:t xml:space="preserve">A faj által a vegetációra kifejtett direkt hatások vizsgálata történt meg. A lágyszárú vegetációra gyakorolt hatásokat kvadrátokkal teszteltem. A fás szárú vegetációra gyakorolt hatásokat mintateres becslésén keresztül értékeltem.</w:t>
      </w:r>
      <w:r>
        <w:rPr>
          <w:color w:val="000000"/>
          <w:sz w:val="24"/>
          <w:szCs w:val="24"/>
        </w:rPr>
        <w:br/>
        <w:t xml:space="preserve">Eredményeim alapján, a nyulak a számottevő kései meggy elegyedéssel rendelkező, kisméretű, sűrű vegetációjú részleteket preferálták. A nyíltabb vegetációjú foltokat és a homogén, nagyméretű részleteket elkerülték. Az élőhely-preferencia bemutatására jó példa a területen található nyárültetvény. A homogén, silány cserjeszintű, gyenge kései meggy elegyedésű, nagy területű nyárültetvényt elkerülték, azonban az ültetvényt kettészelő, változatosabb, számottevő kései meggy elegyedésű tuskósort preferálták a nyulak.</w:t>
      </w:r>
      <w:r>
        <w:rPr>
          <w:color w:val="000000"/>
          <w:sz w:val="24"/>
          <w:szCs w:val="24"/>
        </w:rPr>
        <w:br/>
        <w:t xml:space="preserve">A kései meggy a legnagyobb mértékben használt rágott növénynek bizonyult, annak ellenére, hogy elkerülte az üregi nyúl. A használatban megjelenő egyéb fafajok alacsony mintaelemszámúak voltak.</w:t>
      </w:r>
      <w:r>
        <w:rPr>
          <w:color w:val="000000"/>
          <w:sz w:val="24"/>
          <w:szCs w:val="24"/>
        </w:rPr>
        <w:br/>
        <w:t xml:space="preserve">A kihelyezett kvadrátokból csak a tuskósorra kihelyezett esetében kaptam értékelhető eredményt a parlagfű tekintetében. A kezelt, illetve a kezeletlen területeken lévő egyedek szignifikánsan eltértek a növénymagasságot és a levélszámot illetően egyaránt. A nyulak számára hozzáférhető növények kisebbek voltak és kevesebb levelet fejlesztettek, mint a nyulak elől elkerített társaik.</w:t>
      </w:r>
      <w:r>
        <w:rPr>
          <w:color w:val="000000"/>
          <w:sz w:val="24"/>
          <w:szCs w:val="24"/>
        </w:rPr>
        <w:br/>
        <w:t xml:space="preserve">A vizsgálatom területeként szolgáló élőhely megfelel az üregi nyúlnak, azon életképes populációt képes kialakítani, fenntartani. Kiemelkedő a tuskósorok és a sűrű, kései meggy elegyedésű cserjeszinttel rendelkező, kis méretű részletek szerepe. A faj megtelepedését ezen tényezők kialakításával, illetve megszüntetésével lehet befolyásolni a gazdasági céltól függően. Vadgazdálkodási szempontból a faj állományainak növekedése egyértelműen pozitív, sőt a várakozásokkal ellentétben természetvédelmi és erdőgazdasági károkozása is elhanyagolható.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98020">
    <w:multiLevelType w:val="hybridMultilevel"/>
    <w:lvl w:ilvl="0" w:tplc="28453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98020">
    <w:abstractNumId w:val="26698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854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