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EDINA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Egervári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adatbányászat alkalmazhatóságának módszerei és lehetőségei a könyvtárakban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azokat a módszereket, gyakorlatokat, amelyek az adatbányászat területén a könyvtárakhoz kapcsolódnak.</w:t>
      </w:r>
      <w:r>
        <w:rPr>
          <w:color w:val="000000"/>
          <w:sz w:val="24"/>
          <w:szCs w:val="24"/>
        </w:rPr>
        <w:br/>
        <w:t xml:space="preserve">A könyvtári adatbányászat (bibliomining) folyamatának bemutatása után kitér a könyvtári munkafolyamatok azon területeire, ahol adatbányászati algoritmusokkal megkönnyíthetjük a könyvtárosok munkáját, illetve magasabb minőségű szolgáltatást nyújthatunk az olvasóknak.</w:t>
      </w:r>
      <w:r>
        <w:rPr>
          <w:color w:val="000000"/>
          <w:sz w:val="24"/>
          <w:szCs w:val="24"/>
        </w:rPr>
        <w:br/>
        <w:t xml:space="preserve">Több integrált könyvtári rendszer statisztikai modulját elemzi, olyan szempontból mennyire vannak felkészülve adatbányászati algoritmusok implementálására, illetve mennyire dinamikusan statisztikák készíthetők velük.</w:t>
      </w:r>
      <w:r>
        <w:rPr>
          <w:color w:val="000000"/>
          <w:sz w:val="24"/>
          <w:szCs w:val="24"/>
        </w:rPr>
        <w:br/>
        <w:t xml:space="preserve">Az adatbányászati algoritmusok nagy része használható a könyvtárakban, a dolgozat részletesen leírja ezek működését, illetve azt, hogy pontosan milyen feladatokat oldhatnak meg a könyvtárakban.</w:t>
      </w:r>
      <w:r>
        <w:rPr>
          <w:color w:val="000000"/>
          <w:sz w:val="24"/>
          <w:szCs w:val="24"/>
        </w:rPr>
        <w:br/>
        <w:t xml:space="preserve">A dolgozatban bemutatásra kerülnek az egyes könyvtártípusok szerinti eltérések is.</w:t>
      </w:r>
      <w:r>
        <w:rPr>
          <w:color w:val="000000"/>
          <w:sz w:val="24"/>
          <w:szCs w:val="24"/>
        </w:rPr>
        <w:br/>
        <w:t xml:space="preserve">A létező integrált könyvtári rendszerek nem tartalmaznak adatbányászati modulokat, azonban felkészültek ezek integrálására, így az adatbányászat beépülhet a mai könyvtárak gyakorlatába. A folyamat más országokban már elkezdődött, így hazánkban is megvalósítható, és hasznos lenne ilyen szoftverek készítése, használata.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50417">
    <w:multiLevelType w:val="hybridMultilevel"/>
    <w:lvl w:ilvl="0" w:tplc="94859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50417">
    <w:abstractNumId w:val="198504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670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