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LAKATOS ZSOLT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Lőrincz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Drosophila Atg6 szerepe a Notch jelátvitel szabályozásában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receptor-mediált endocitózis fontos szerepet játszik jelátviteli folyamatok, köztük a Notch jelátvitel szabályozásában, a receptor és ligand molekulák internalizálásának, lebontásának és reciklizálásának a segítségével.</w:t>
      </w:r>
      <w:r>
        <w:rPr>
          <w:color w:val="000000"/>
          <w:sz w:val="24"/>
          <w:szCs w:val="24"/>
        </w:rPr>
        <w:br/>
        <w:t xml:space="preserve">Munkám során az Atg6 szerepét vizsgáltam a Notch jelátvitel szabályozásában, amelynek az endocitózis szabályozásáért felelős szerepe az eddigi vizsgálatok alapján ellentmondásos.</w:t>
      </w:r>
      <w:r>
        <w:rPr>
          <w:color w:val="000000"/>
          <w:sz w:val="24"/>
          <w:szCs w:val="24"/>
        </w:rPr>
        <w:br/>
        <w:t xml:space="preserve">A vizsgálatokhoz olyan D. melanogaster Atg6 RNSi és mutáns törzseket használtam, melyekben a mutációt illetve csendesítést csak az állatok szárnyában fejeztettük ki. Az állatok szárnya a csendesítés hatására látványosan torzul.</w:t>
      </w:r>
      <w:r>
        <w:rPr>
          <w:color w:val="000000"/>
          <w:sz w:val="24"/>
          <w:szCs w:val="24"/>
        </w:rPr>
        <w:br/>
        <w:t xml:space="preserve">Az Atg6 csendesített fejlődő szárnyepidermisz sejtekben abnormális multivezikuláris és lamelláris testek találhatóak, amelyekről plazmamembrán-lokalizált HRP és DAB reakció segítségével megállapítottam, hogy azok endocitotikus eredetűek, tehát a késői endoszómák szintjén az endocitózis megreked. Ezt fluoreszcens markerek segítségével is igazoltam. Imaginális szárnykorongokban immunhisztokémiai eljárással megfestettem a Notch intra- és extracelluláris doménjét, valamint a Notch egy ligandját, a Deltát. Az Atg6 csendesített sejtekben ezeknek a fehérjéknek a mennyisége felszaporodik. Mivel ez utalt a jelátvitel felerősödésére is, ezért ezt Notch Response Element GFP transzgént is hordozó törzs segítségével is igazoltam.</w:t>
      </w:r>
      <w:r>
        <w:rPr>
          <w:color w:val="000000"/>
          <w:sz w:val="24"/>
          <w:szCs w:val="24"/>
        </w:rPr>
        <w:br/>
        <w:t xml:space="preserve">Ezek alapján arra a következtetésre jutottam, hogy az Atg6 a Notch és a Delta felvételén és lebontásán keresztül szabályozza a Notch jelátvitelt.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852244">
    <w:multiLevelType w:val="hybridMultilevel"/>
    <w:lvl w:ilvl="0" w:tplc="730271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852244">
    <w:abstractNumId w:val="898522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73662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