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MOLNÁR</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Sebestyén</w:t>
            </w:r>
          </w:p>
          <w:p w:rsidR="00DB4822" w:rsidRDefault="00DB4822" w:rsidP="00E11062">
            <w:pPr>
              <w:pStyle w:val="Konzulensek"/>
            </w:pPr>
            <w:r w:rsidRPr="00DB4822">
              <w:t>senior research fellow,  1st Department of Pathology and Experimental Cancer Research of Semmelweis University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mTOR (mammalian target of rapamycin) activity and mTOR inhibitor sensitivity of colon carcinomas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Resistance against cancer therapy occurs in several cases. In many cancer types, deregulation of mTOR kinase activity can lead to uncontrolled proliferation. mTOR presents in two different protein complexes (mTORC1 and C2 complex) which have distinct sensitivity to mTOR inhibitors. </w:t>
      </w:r>
    </w:p>
    <w:p>
      <w:pPr>
        <w:widowControl w:val="on"/>
        <w:pBdr/>
        <w:spacing w:before="240" w:after="240" w:line="240" w:lineRule="auto"/>
        <w:ind w:left="0" w:right="0"/>
        <w:jc w:val="left"/>
      </w:pPr>
      <w:r>
        <w:rPr>
          <w:color w:val="000000"/>
          <w:sz w:val="24"/>
          <w:szCs w:val="24"/>
        </w:rPr>
        <w:t xml:space="preserve">We examined the mTOR activity in human colon carcinoma biopsies. We studied the effect of several mTOR inhibitors (rapamycin, PP-242, NVP-BEZ-235) and the molecular background of distinct sensitivity to mTOR inhibitors in colon carcinoma cell lines. We measured the inhibited proliferation after treatment of mTOR and EGFR inhibitors with Alamar blue test. We examined the mTOR activity and the expression of the characteristic proteins of each complexes with immunocytochemistry and immunohistochemistry. </w:t>
      </w:r>
    </w:p>
    <w:p>
      <w:pPr>
        <w:widowControl w:val="on"/>
        <w:pBdr/>
        <w:spacing w:before="240" w:after="240" w:line="240" w:lineRule="auto"/>
        <w:ind w:left="0" w:right="0"/>
        <w:jc w:val="left"/>
      </w:pPr>
      <w:r>
        <w:rPr>
          <w:color w:val="000000"/>
          <w:sz w:val="24"/>
          <w:szCs w:val="24"/>
        </w:rPr>
        <w:t xml:space="preserve">We have observed high mTOR activity in 70% of colon carcinoma samples, moreover this was accompanied by Rictor (mTORC2 complex) overexpression in 50% of these cases. Those mTOR inhibitors which inhibit both of the mTOR complexes were more effective in cell lines with high Rictor and low Raptor expression. Therefore the amount of Rictor (mTORC2 complex dominant expression) could be very important in the effectiveness of mTOR inhibitor therapies. </w:t>
      </w:r>
    </w:p>
    <w:p>
      <w:pPr>
        <w:widowControl w:val="on"/>
        <w:pBdr/>
        <w:spacing w:before="240" w:after="240" w:line="240" w:lineRule="auto"/>
        <w:ind w:left="0" w:right="0"/>
        <w:jc w:val="left"/>
      </w:pPr>
      <w:r>
        <w:rPr>
          <w:color w:val="000000"/>
          <w:sz w:val="24"/>
          <w:szCs w:val="24"/>
        </w:rPr>
        <w:t xml:space="preserve">Based on our results, the activity of mTOR complexes could be a proper target in cancer therapy in colon carcinomas. In situ quantitative determination of active mTORC1 and C2 complexes could be used as diagnostic method to define the appropriate therapy for each patient. </w:t>
      </w:r>
    </w:p>
    <w:p>
      <w:pPr>
        <w:widowControl w:val="on"/>
        <w:pBdr/>
        <w:spacing w:before="240" w:after="240" w:line="240" w:lineRule="auto"/>
        <w:ind w:left="0" w:right="0"/>
        <w:jc w:val="left"/>
      </w:pPr>
      <w:r>
        <w:rPr>
          <w:color w:val="000000"/>
          <w:sz w:val="24"/>
          <w:szCs w:val="24"/>
        </w:rPr>
        <w:t xml:space="preserve">OTKA-84262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13868">
    <w:multiLevelType w:val="hybridMultilevel"/>
    <w:lvl w:ilvl="0" w:tplc="22186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13868">
    <w:abstractNumId w:val="89513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117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