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GÓGL GERGÕ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Reményi Attila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 NDR/LATS kináz-koakivátor komplex szerkezete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NDR/LATS kinázok a sejtnövekedést szabályzó "Hippo" jelátviteli rendszer terminális</w:t>
      </w:r>
      <w:r>
        <w:rPr>
          <w:color w:val="000000"/>
          <w:sz w:val="24"/>
          <w:szCs w:val="24"/>
        </w:rPr>
        <w:br/>
        <w:t xml:space="preserve">elemei. Noha az utóbbi évek kutatásai sokat feltártak ennek a jelpályának a fontosságáról, szerkezeti</w:t>
      </w:r>
      <w:r>
        <w:rPr>
          <w:color w:val="000000"/>
          <w:sz w:val="24"/>
          <w:szCs w:val="24"/>
        </w:rPr>
        <w:br/>
        <w:t xml:space="preserve">oldalról nincs ismeretünk az itt működő fehérje kinázokról. Munkám során az élesztő NDR/LATS</w:t>
      </w:r>
      <w:r>
        <w:rPr>
          <w:color w:val="000000"/>
          <w:sz w:val="24"/>
          <w:szCs w:val="24"/>
        </w:rPr>
        <w:br/>
        <w:t xml:space="preserve">kináz koaktivátorával (Cbk1-Mob2) alkotott komplexének végeztem el szerkezeti-funkcionális</w:t>
      </w:r>
      <w:r>
        <w:rPr>
          <w:color w:val="000000"/>
          <w:sz w:val="24"/>
          <w:szCs w:val="24"/>
        </w:rPr>
        <w:br/>
        <w:t xml:space="preserve">karakterizálását röntgenkrisztallográfiai és klasszikus biokémiai módszerekkel. Ennek során</w:t>
      </w:r>
      <w:r>
        <w:rPr>
          <w:color w:val="000000"/>
          <w:sz w:val="24"/>
          <w:szCs w:val="24"/>
        </w:rPr>
        <w:br/>
        <w:t xml:space="preserve">meghatároztam a fehérjecsoport első szerkezeteit, amelyek mintaként szolgálhatnak a jövőben más</w:t>
      </w:r>
      <w:r>
        <w:rPr>
          <w:color w:val="000000"/>
          <w:sz w:val="24"/>
          <w:szCs w:val="24"/>
        </w:rPr>
        <w:br/>
        <w:t xml:space="preserve">organizmusból származó (pl. emlős) komplexekhez. A megoldott szerkezetek rámutattak a fehérje</w:t>
      </w:r>
      <w:r>
        <w:rPr>
          <w:color w:val="000000"/>
          <w:sz w:val="24"/>
          <w:szCs w:val="24"/>
        </w:rPr>
        <w:br/>
        <w:t xml:space="preserve">szerkezetében végbemenő allosztérikus folyamatokra és strukturális átrendeződésekre. A Cbk1 kináz</w:t>
      </w:r>
      <w:r>
        <w:rPr>
          <w:color w:val="000000"/>
          <w:sz w:val="24"/>
          <w:szCs w:val="24"/>
        </w:rPr>
        <w:br/>
        <w:t xml:space="preserve">szubsztrátjaihoz lineáris motívumokon keresztül kötődik és ez a fiziológiai szubsztrátok aktiválásának</w:t>
      </w:r>
      <w:r>
        <w:rPr>
          <w:color w:val="000000"/>
          <w:sz w:val="24"/>
          <w:szCs w:val="24"/>
        </w:rPr>
        <w:br/>
        <w:t xml:space="preserve">robosztusságát növeli. A Cbk1-Mob2 szerkezet lehetővé tette az itt működő szubsztrát dokkoló</w:t>
      </w:r>
      <w:r>
        <w:rPr>
          <w:color w:val="000000"/>
          <w:sz w:val="24"/>
          <w:szCs w:val="24"/>
        </w:rPr>
        <w:br/>
        <w:t xml:space="preserve">mechanizmus részletes analízisét is és in silico fehérje-peptid dokkoló számításokkal azonosítottam a</w:t>
      </w:r>
      <w:r>
        <w:rPr>
          <w:color w:val="000000"/>
          <w:sz w:val="24"/>
          <w:szCs w:val="24"/>
        </w:rPr>
        <w:br/>
        <w:t xml:space="preserve">dokkoló peptid kötő Cbk1 felszínt, melyet aztán fehérje-fehérje kölcsönhatás mérésére alkalmas</w:t>
      </w:r>
      <w:r>
        <w:rPr>
          <w:color w:val="000000"/>
          <w:sz w:val="24"/>
          <w:szCs w:val="24"/>
        </w:rPr>
        <w:br/>
        <w:t xml:space="preserve">módszerekkel bizonyítottam.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86508">
    <w:multiLevelType w:val="hybridMultilevel"/>
    <w:lvl w:ilvl="0" w:tplc="39750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86508">
    <w:abstractNumId w:val="899865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319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