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GYÖNGYI NÉMETH</w:t>
            </w:r>
          </w:p>
          <w:p w:rsidR="00C275A3" w:rsidRDefault="00A96AEC" w:rsidP="00C275A3">
            <w:pPr>
              <w:pStyle w:val="Hallgatokepzes"/>
            </w:pPr>
            <w:r>
              <w:t>International Business Administration</w:t>
            </w:r>
            <w:r>
              <w:br/>
            </w:r>
            <w:r w:rsidR="00E77B23">
              <w:t>BA, 7. semester</w:t>
            </w:r>
          </w:p>
          <w:p w:rsidR="00C265CE" w:rsidRPr="009E5FF1" w:rsidRDefault="00E77B23" w:rsidP="00BA6BAF">
            <w:pPr>
              <w:pStyle w:val="Hallgatointezmeny-kar"/>
              <w:rPr>
                <w:b/>
                <w:caps/>
              </w:rPr>
            </w:pPr>
            <w:r>
              <w:t>College of Szolnok</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Dr. Péter Lakatos</w:t>
            </w:r>
          </w:p>
          <w:p w:rsidR="00DB4822" w:rsidRDefault="00DB4822" w:rsidP="00BA6BAF">
            <w:pPr>
              <w:pStyle w:val="Konzulensektitulus"/>
            </w:pPr>
            <w:r w:rsidRPr="00DB4822">
              <w:t>Associate College Professor, SZF</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Magyar e-útdíj rendszer tapasztalatai</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e-toll, Common Transport Policy</w:t>
      </w:r>
      <w:r>
        <w:t xml:space="preserve"/>
      </w:r>
    </w:p>
    <w:p>
      <w:pPr>
        <w:widowControl w:val="on"/>
        <w:pBdr/>
        <w:spacing w:before="240" w:after="240" w:line="240" w:lineRule="auto"/>
        <w:ind w:left="0" w:right="0"/>
        <w:jc w:val="left"/>
      </w:pPr>
      <w:r>
        <w:rPr>
          <w:color w:val="000000"/>
          <w:sz w:val="24"/>
          <w:szCs w:val="24"/>
        </w:rPr>
        <w:t xml:space="preserve">The Common Transport Policy of the European Union in order to achieve the Single European Transport area inter alia demands the Member State to introduce an the electronic toll system. In many Member States distance-based electronic toll system operates.</w:t>
      </w:r>
    </w:p>
    <w:p>
      <w:pPr>
        <w:widowControl w:val="on"/>
        <w:pBdr/>
        <w:spacing w:before="240" w:after="240" w:line="240" w:lineRule="auto"/>
        <w:ind w:left="0" w:right="0"/>
        <w:jc w:val="left"/>
      </w:pPr>
      <w:r>
        <w:rPr>
          <w:color w:val="000000"/>
          <w:sz w:val="24"/>
          <w:szCs w:val="24"/>
        </w:rPr>
        <w:t xml:space="preserve">As of 1st July 2013 the electronic toll collection system was introduced in Hungary as well, and it turned upside down the life of the transport sector.</w:t>
      </w:r>
    </w:p>
    <w:p>
      <w:pPr>
        <w:widowControl w:val="on"/>
        <w:pBdr/>
        <w:spacing w:before="240" w:after="240" w:line="240" w:lineRule="auto"/>
        <w:ind w:left="0" w:right="0"/>
        <w:jc w:val="left"/>
      </w:pPr>
      <w:r>
        <w:rPr>
          <w:color w:val="000000"/>
          <w:sz w:val="24"/>
          <w:szCs w:val="24"/>
        </w:rPr>
        <w:t xml:space="preserve">The aim of my paper is to explore how the e-toll system had been implemented in Hungary and what effects it caused during the four months of operation.</w:t>
      </w:r>
    </w:p>
    <w:p>
      <w:pPr>
        <w:widowControl w:val="on"/>
        <w:pBdr/>
        <w:spacing w:before="240" w:after="240" w:line="240" w:lineRule="auto"/>
        <w:ind w:left="0" w:right="0"/>
        <w:jc w:val="left"/>
      </w:pPr>
      <w:r>
        <w:rPr>
          <w:color w:val="000000"/>
          <w:sz w:val="24"/>
          <w:szCs w:val="24"/>
        </w:rPr>
        <w:t xml:space="preserve">For this purpose, the transport sectors’ evolution and significance had been reviewed, after the following chapter shows the development of the Common Transport Policy, which is followed by the Hungarian road toll system. During my research, several interviews were prepared and conferences attended where the economic players shared their experiences and recommendations.</w:t>
      </w:r>
    </w:p>
    <w:p>
      <w:pPr>
        <w:widowControl w:val="on"/>
        <w:pBdr/>
        <w:spacing w:before="240" w:after="240" w:line="240" w:lineRule="auto"/>
        <w:ind w:left="0" w:right="0"/>
        <w:jc w:val="left"/>
      </w:pPr>
      <w:r>
        <w:rPr>
          <w:color w:val="000000"/>
          <w:sz w:val="24"/>
          <w:szCs w:val="24"/>
        </w:rPr>
        <w:t xml:space="preserve">The system today is operating and the revenue from toll collection is now more than HUF 50 billion. The haulers had to face with an unexpectedly high distance based toll; however, they agreed that it was a necessary step was to take. The transport industry nevertheless is unable to finance this immediate toll, therefore, at the end, the customers pay.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3955687">
    <w:multiLevelType w:val="hybridMultilevel"/>
    <w:lvl w:ilvl="0" w:tplc="9764805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3955687">
    <w:abstractNumId w:val="9395568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6558897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