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CADET BENCE BALÁZS NAGY</w:t>
            </w:r>
          </w:p>
          <w:p w:rsidR="00C275A3" w:rsidRDefault="00A96AEC" w:rsidP="00C275A3">
            <w:pPr>
              <w:pStyle w:val="Hallgatokepzes"/>
            </w:pPr>
            <w:r>
              <w:t>Military and Safety Engineer</w:t>
            </w:r>
            <w:r>
              <w:br/>
            </w:r>
            <w:r w:rsidR="00E77B23">
              <w:t>BSc, 3. semester</w:t>
            </w:r>
          </w:p>
          <w:p w:rsidR="00C265CE" w:rsidRPr="009E5FF1" w:rsidRDefault="00E77B23" w:rsidP="00C275A3">
            <w:pPr>
              <w:pStyle w:val="Hallgatokepzes"/>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Mr József Kaló, PhD</w:t>
            </w:r>
          </w:p>
          <w:p w:rsidR="00DB4822" w:rsidRDefault="00DB4822" w:rsidP="00E11062">
            <w:pPr>
              <w:pStyle w:val="Konzulensek"/>
            </w:pPr>
            <w:r w:rsidRPr="00DB4822">
              <w:t>Assistant Professor,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 Comparison of the landing operations in Normandy and in Inch’on / A normandiai és az incshoni partraszállások összehasonlítása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paper I give a comparison of the two largest landing operations of military history from several aspects wich had influence on both their preparation and execution.</w:t>
      </w:r>
      <w:r>
        <w:rPr>
          <w:color w:val="000000"/>
          <w:sz w:val="24"/>
          <w:szCs w:val="24"/>
        </w:rPr>
        <w:br/>
        <w:t xml:space="preserve">Thus the reader can get to know the general principles of landing operations and military leaders – who changed history and led the preparatory process -, the military assets which were used and execution process too.</w:t>
      </w:r>
      <w:r>
        <w:rPr>
          <w:color w:val="000000"/>
          <w:sz w:val="24"/>
          <w:szCs w:val="24"/>
        </w:rPr>
        <w:br/>
        <w:t xml:space="preserve">The explanation of the aspects can make the reader recognize the differences but my work containing my opinions and data from special literature. In order to help the reader with with understanding my intentions completely at the end of my dissertation I made a conclusion collecting my ideas and thoughts.</w:t>
      </w:r>
      <w:r>
        <w:rPr>
          <w:color w:val="000000"/>
          <w:sz w:val="24"/>
          <w:szCs w:val="24"/>
        </w:rPr>
        <w:br/>
        <w:t xml:space="preserve">Besides my statements and comments my work includes pictures and maps about the operations, which could be useful to envisage and understand the circumstances which shaped our history.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643779">
    <w:multiLevelType w:val="hybridMultilevel"/>
    <w:lvl w:ilvl="0" w:tplc="770078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643779">
    <w:abstractNumId w:val="5664377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210482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