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LÁSZLÓ OROSZ</w:t>
            </w:r>
          </w:p>
          <w:p w:rsidR="00C275A3" w:rsidRDefault="00A96AEC" w:rsidP="00C275A3">
            <w:pPr>
              <w:pStyle w:val="Hallgatokepzes"/>
            </w:pPr>
            <w:r>
              <w:t>Security and defense policy</w:t>
            </w:r>
            <w:r>
              <w:br/>
            </w:r>
            <w:r w:rsidR="00E77B23">
              <w:t>BSc, 5. semester</w:t>
            </w:r>
          </w:p>
          <w:p w:rsidR="00C265CE" w:rsidRPr="009E5FF1" w:rsidRDefault="00E77B23" w:rsidP="00C275A3">
            <w:pPr>
              <w:pStyle w:val="Hallgatokepzes"/>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Capt. Dr. Balázs Forgács PhD</w:t>
            </w:r>
          </w:p>
          <w:p w:rsidR="00DB4822" w:rsidRDefault="00DB4822" w:rsidP="00E11062">
            <w:pPr>
              <w:pStyle w:val="Konzulensek"/>
            </w:pPr>
            <w:r w:rsidRPr="00DB4822">
              <w:t>associate professor,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Strategic Documents of Hungary's Neighbors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Hungary national security unintelligible without the efforts of neighboring countries.</w:t>
      </w:r>
    </w:p>
    <w:p>
      <w:pPr>
        <w:widowControl w:val="on"/>
        <w:pBdr/>
        <w:spacing w:before="240" w:after="240" w:line="240" w:lineRule="auto"/>
        <w:ind w:left="0" w:right="0"/>
        <w:jc w:val="left"/>
      </w:pPr>
      <w:r>
        <w:rPr>
          <w:color w:val="000000"/>
          <w:sz w:val="24"/>
          <w:szCs w:val="24"/>
        </w:rPr>
        <w:t xml:space="preserve">The aim of the study is to provide the national security strategies and national military strategies of the neighbours of Hungary. The author examines the security environment, the security interests, the threats and the tasks of the armed forces. The author analyses in detail those cooperations between Hungary and its neighbours, which facilitates communication between the states.</w:t>
      </w:r>
    </w:p>
    <w:p>
      <w:pPr>
        <w:widowControl w:val="on"/>
        <w:pBdr/>
        <w:spacing w:before="240" w:after="240" w:line="240" w:lineRule="auto"/>
        <w:ind w:left="0" w:right="0"/>
        <w:jc w:val="left"/>
      </w:pPr>
      <w:r>
        <w:rPr>
          <w:color w:val="000000"/>
          <w:sz w:val="24"/>
          <w:szCs w:val="24"/>
        </w:rPr>
        <w:t xml:space="preserve">At the end of the study, and further directions for researches are appointed.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643993">
    <w:multiLevelType w:val="hybridMultilevel"/>
    <w:lvl w:ilvl="0" w:tplc="139619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643993">
    <w:abstractNumId w:val="2964399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331004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