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MÁRK</w:t>
            </w:r>
          </w:p>
          <w:p w:rsidR="00C275A3" w:rsidRDefault="00A96AEC" w:rsidP="00C275A3">
            <w:pPr>
              <w:pStyle w:val="Hallgatokepzes"/>
            </w:pPr>
            <w:r>
              <w:t>katonai vezető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Magyar István alez.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erők megóvása a lövész alegységek szemszögéből, a magyar és amerikai haderő szabályzati háttere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legjelentősebb szövetséges szárazföldi haderő, az US Army és a Magyar Honvédség rendelkezésére álló szabályzatok összevetése az erők védelme szempontjából. Mindezt pedig a lövész alegységek szemszögéből. Munkámban megvizsgálom a két szabályrendszert külön-külön, majd összevetem, ezáltal feltárva a különbségeket, melyek bizony akadnak szép számmal.</w:t>
      </w:r>
      <w:r>
        <w:rPr>
          <w:color w:val="000000"/>
          <w:sz w:val="24"/>
          <w:szCs w:val="24"/>
        </w:rPr>
        <w:br/>
        <w:t xml:space="preserve">Dolgozatomban azért az amerikai szabályzatot választottam összehasonlítási alapul, mert a US Army az a szárazföldi haderő a NATO-ban, amelyik a legjelentősebb mértékben vesz részt katonai műveltekben (és ez az elmúlt 70 évben is így volt), ezért ők rendelkeznek a legteljesebb mértékű szabályrendszerrel ezen a téren is.</w:t>
      </w:r>
      <w:r>
        <w:rPr>
          <w:color w:val="000000"/>
          <w:sz w:val="24"/>
          <w:szCs w:val="24"/>
        </w:rPr>
        <w:br/>
        <w:t xml:space="preserve">Kérdésként merülhet föl, hogy a magyar szabályzók esetében miért csak a Harcszabályzatra és a Doktrínára korlátoztam kutatásaimat. Ennek egyszerűen az az oka, hogy a katonát csak arra képzik ki, ami a szabályzatban benne van. Jóllehet a műveleti területre kiutazás előtt katonáink részesülnek felkészítésben, szerencsésebb ha a katona már a honi kiképzés során találkozik a hadművészet dolgozatomban részletesen leírt területekkel, hiszen ha már hallott róla, esetleg készség szintjén elsajátította, akkor az extrém stressz esetén akár az életét mentheti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792416">
    <w:multiLevelType w:val="hybridMultilevel"/>
    <w:lvl w:ilvl="0" w:tplc="786146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792416">
    <w:abstractNumId w:val="407924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83088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