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SZARVASNÉ VANCSURA MARGIT</w:t>
            </w:r>
          </w:p>
          <w:p w:rsidR="00C275A3" w:rsidRDefault="00A96AEC" w:rsidP="00C275A3">
            <w:pPr>
              <w:pStyle w:val="Hallgatokepzes"/>
            </w:pPr>
            <w:r>
              <w:t>teológia</w:t>
            </w:r>
            <w:r>
              <w:br/>
            </w:r>
            <w:r w:rsidR="00E77B23">
              <w:t>MA, 10. félév</w:t>
            </w:r>
          </w:p>
          <w:p w:rsidR="00C265CE" w:rsidRPr="009E5FF1" w:rsidRDefault="00E77B23" w:rsidP="00C275A3">
            <w:pPr>
              <w:pStyle w:val="Hallgatokepzes"/>
              <w:rPr>
                <w:b/>
                <w:caps/>
              </w:rPr>
            </w:pPr>
            <w:r>
              <w:t>Pécsi Püspöki Hittudományi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Hegyi Márton</w:t>
            </w:r>
          </w:p>
          <w:p w:rsidR="00DB4822" w:rsidRDefault="00DB4822" w:rsidP="00E11062">
            <w:pPr>
              <w:pStyle w:val="Konzulensek"/>
            </w:pPr>
            <w:r w:rsidRPr="00DB4822">
              <w:t>főiskolai docens, PHF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Karl Rahner és Hans Urs von Balthasar kibékítésének lehetőségei a teológiai antropológia játékterében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Karl Rahner és Hans Urs von Balthasar a XX. század két teológusa. Bár mindketten katolikus papok voltak, gondolkodásuk számos helyen eltér egymástól, amit beszédeikben, írásaikban többször megerősítettek. Így nem volna nehéz ütköztetni egymással őket. Ebben az előadásban mégis inkább a találkozási pontokra szeretnék rámutatni. Olyan színteret kerestem, ahol az általam nagyra becsült két „mester” kezet foghat egymással. Teszem ezt azzal a szándékkal, hogy választ kapjunk arra a kérdésre, amely sokunkat foglalkoztat: „Ki vagyok én?”</w:t>
      </w:r>
      <w:r>
        <w:rPr>
          <w:color w:val="000000"/>
          <w:sz w:val="24"/>
          <w:szCs w:val="24"/>
        </w:rPr>
        <w:br/>
        <w:t xml:space="preserve">Az ember titkait fürkésző Rahner, transzcendentális (alulról kiinduló) teológiájában a kanti filozófia bontakozik ki, azt a kinyilatkoztatás fényében használja. Német teológusunk az emberi szellem dinamizmusát úgy írja le, amely mindig túllendül önmagán, amely végső soron a Végtelenre van irányulva. Rahner tehát abban látja az emberi személy méltóságát, nagyságát, hogy egyedül az ember képes kapcsolatba lépni a Teremtővel, csakis mi vagyunk képesek meghallani Isten üzenetét, megismerni Őt.</w:t>
      </w:r>
      <w:r>
        <w:rPr>
          <w:color w:val="000000"/>
          <w:sz w:val="24"/>
          <w:szCs w:val="24"/>
        </w:rPr>
        <w:br/>
        <w:t xml:space="preserve">Balthasar felülről kiinduló teológiája Krisztusra tekintve magyarázza az embert. Theodramatik (Isteni dráma) című művében színházi eszköztár segítségével mutatja be Isten és az ember kapcsolatát. Isten üdvcselekvése az emberen úgy, hogy maga az Isten emberré lesz, vagyis a Rendező a színpadra lép azért, hogy átélve emberlétünket, küldetését beteljesítve, mi is beteljesítsük azt a küldetést, amelyet a teremtés könyvében olvashatunk: Isten képére és hasonlatosságára válni. Az Isten emberré lett, hogy az ember istenivé lehessen.</w:t>
      </w:r>
      <w:r>
        <w:rPr>
          <w:color w:val="000000"/>
          <w:sz w:val="24"/>
          <w:szCs w:val="24"/>
        </w:rPr>
        <w:br/>
        <w:t xml:space="preserve">Bár egészen más megvilágításban, de mindkét teológus arról az emberről beszél, aki az ember- Krisztushoz hasonlóan képes felemelkedni az Istenhez, képes meghallani transzcendenciája által Isten üzenetét.</w:t>
      </w:r>
      <w:r>
        <w:rPr>
          <w:color w:val="000000"/>
          <w:sz w:val="24"/>
          <w:szCs w:val="24"/>
        </w:rPr>
        <w:br/>
        <w:t xml:space="preserve">Az ember Isten nélkül megmagyarázhatatlan, felfoghatatlan titok, ezért a teológia feladata az Isten titkán túl az ember titkának a keresése.</w:t>
      </w:r>
    </w:p>
    <w:p>
      <w:pPr>
        <w:widowControl w:val="on"/>
        <w:pBdr/>
        <w:spacing w:before="0" w:after="0" w:line="240" w:lineRule="auto"/>
        <w:ind w:left="0" w:right="0"/>
        <w:jc w:val="left"/>
      </w:pPr>
      <w:r>
        <w:rPr>
          <w:color w:val="000000"/>
          <w:sz w:val="24"/>
          <w:szCs w:val="24"/>
        </w:rPr>
        <w:br/>
        <w:t xml:space="preserve"> </w:t>
      </w:r>
    </w:p>
    <w:p>
      <w:pPr>
        <w:widowControl w:val="on"/>
        <w:pBdr/>
        <w:spacing w:before="0" w:after="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59755">
    <w:multiLevelType w:val="hybridMultilevel"/>
    <w:lvl w:ilvl="0" w:tplc="24339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59755">
    <w:abstractNumId w:val="87459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902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