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FLORINA ZÁKÁNY</w:t>
            </w:r>
          </w:p>
          <w:p w:rsidR="00C275A3" w:rsidRDefault="00A96AEC" w:rsidP="00C275A3">
            <w:pPr>
              <w:pStyle w:val="Hallgatokepzes"/>
            </w:pPr>
            <w:r>
              <w:t>general medicine</w:t>
            </w:r>
            <w:r>
              <w:br/>
            </w:r>
            <w:r w:rsidR="00E77B23">
              <w:t>Unified, 12.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Tibor G. Szántó Ph.D.</w:t>
            </w:r>
          </w:p>
          <w:p w:rsidR="00DB4822" w:rsidRDefault="00DB4822" w:rsidP="009763E0">
            <w:pPr>
              <w:pStyle w:val="Konzulensektitulus"/>
            </w:pPr>
            <w:r w:rsidRPr="00DB4822">
              <w:t>professors's assistant, DE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György Panyi MD., Ph.D., DSc.</w:t>
            </w:r>
          </w:p>
          <w:p w:rsidR="00DB4822" w:rsidRDefault="00DB4822" w:rsidP="009763E0">
            <w:pPr>
              <w:pStyle w:val="Konzulensektitulus"/>
            </w:pPr>
            <w:r w:rsidRPr="00DB4822">
              <w:t>Professor,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effects of pore mutations on the gating mechanism of Shaker potassium channel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Korábban bizonyítást nyert, hogy a feszültségkapuzott ioncsatornák közé sorolható Shaker káliumcsatorna aktivációs és C-típusú inaktivációért felelős inaktivációs kapui csatoltak, melyet a pórust közvetlenül határoló S6-os transzmembrán helikális szegmensek inaktiváció során bekövetkező forgása biztosíthat. Kísérleteimben azt vizsgáltam, hogy az S6-os szegmensek pórus felé tekintő pozícióit érintő mutációk hatással vannak-e a két kapu közti csatolásra.</w:t>
      </w:r>
      <w:r>
        <w:rPr>
          <w:color w:val="000000"/>
          <w:sz w:val="24"/>
          <w:szCs w:val="24"/>
        </w:rPr>
        <w:br/>
        <w:t xml:space="preserve">Módszerek: Méréseimhez olyan mutáns Shaker-IR csatornákat használtam, melyek az S6-os szegmensek 470-es pozíciójában különböző hidrofobicitású, illetve töltésű aminosavakat (Ala, Trp, Glu, Asp) tartalmaztak. A kísérleteket a tsA_201 sejtekbe tranziensen transzfektált mutáns ioncsatornákon a patch-clamp technika feszültség-zár üzemmódjában, inside-out konfigurációban végeztem. Az elektrofiziológiai mérések során a mutáns csatornák kapuzását jellemző biofizikai paramétereket határoztam meg (aktivációs- és inaktivációs időállandó; konduktancia- és inaktiváció feszültségfüggése, inaktivációból való visszatérés időállandója) és hasonlítottam össze a kontrollként használt T449A/I470 ioncsatorna megfelelő paramétereivel.</w:t>
      </w:r>
      <w:r>
        <w:rPr>
          <w:color w:val="000000"/>
          <w:sz w:val="24"/>
          <w:szCs w:val="24"/>
        </w:rPr>
        <w:br/>
        <w:t xml:space="preserve">Eredmények: A legjelentősebb eltérést az inaktivált állapot kialakulását jellemző inaktivációs időállandóban tapasztaltam. Míg az inaktivációs időállandó értéke a kontroll csatorna esetén ~70 ms, addig ez az érték a T449A/I470A ioncsatorna esetén ~315 ms. A 470-es pozícióba helyezett szintén apoláris oldalláncú triptofán, a negatív töltésű glutamát és aszpartát kevésbé lassította az inaktivációs kinetikát (az inaktivációs időállandók rendre ~110 ms, ~125 ms, ~145 ms). A mutáns ioncsatornák inaktivációs kapuzását jellemző további, valamint az aktivációs kapuzást jellemző paraméterek esetén kisebb mértékű változást tapasztaltam a kontrollhoz képest.</w:t>
      </w:r>
      <w:r>
        <w:rPr>
          <w:color w:val="000000"/>
          <w:sz w:val="24"/>
          <w:szCs w:val="24"/>
        </w:rPr>
        <w:br/>
        <w:t xml:space="preserve">Következtetés: Az eredmények azt mutatják, hogy a pórusban levő aminosavak fizikokémiai tulajdonságai együttesen képesek befolyásolni a Shaker csatorna C-típusú inaktivációját, amely alátámasztja az S6-os szegmensek aktivációs és inaktivációs kapu közti csatolásban betöltött szerepét.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Támogatók: TÁMOP 4.2.4.A/2-11-1-2012-0001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699519">
    <w:multiLevelType w:val="hybridMultilevel"/>
    <w:lvl w:ilvl="0" w:tplc="774285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699519">
    <w:abstractNumId w:val="506995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99399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