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TORNAI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Maria Papp Ph.D., M.D. 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significance of CD163 macrophag scavanger receptor in the pathogenesis and prognosis of liver cirrhosis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májcirrhosisos betegek különösen fogékonyak a bakteriális fertőzésekre. A patogének korai felismerésében a természetes immunrendszer mintázatfelismerő receptorai (PRR) kulcsfontosságúak. A CD163, a makrofágok felszínén található PRR, melyről a sejtek aktivációja során a receptor extracelluláris része lehasad, és szolubilis formában (sCD163) a szisztémás keringésbe kerül. Az emelkedett szérum sCD163 szintet a makrofág aktiváció szerológiai markerének tartják. A máj Kuppfer-sejtjei fontos szerepet töltenek be a májcirrhosis patogenezisében. Az irodalmi adatok szerint az emelkedett sCD163 szint májcirrhosiban összefüggést mutat a portális hipertenzió (PH) mértékével.</w:t>
      </w:r>
      <w:r>
        <w:rPr>
          <w:color w:val="000000"/>
          <w:sz w:val="24"/>
          <w:szCs w:val="24"/>
        </w:rPr>
        <w:br/>
        <w:t xml:space="preserve">Módszerek: 149 egészséges kontroll személyben, illetve 337 infekcióban nem szenvedő májcirrhosisos betegben ELISA módszer segítségével meghatároztuk a szérum sCD163 szinteket, majd 2 éves követési idő alatt vizsgáltuk azok lehetséges összefüggését a betegség súlyosságával, a PH szövődményeinek megjelenésével, progressziójával, illetve a klinikailag jelentős infekciók (CSI) előfordulásával, valamint a mortalitással.</w:t>
      </w:r>
      <w:r>
        <w:rPr>
          <w:color w:val="000000"/>
          <w:sz w:val="24"/>
          <w:szCs w:val="24"/>
        </w:rPr>
        <w:br/>
        <w:t xml:space="preserve">Eredmények: Májcirrhosisos betegekben szignifikánsan gyakrabban észleltünk emelkedett sCD163 szinteket (&gt;6367ng/ml) a kontroll csoporthoz képest (p&lt;0,0001), valamint a májbetegség súlyosságával párhuzamosan is gyakrabban kaptunk magasabb értékeket (Child A:15,6%, Child B:27,2% és Child C:44,8%, p&lt;0,001). Ascites jelenlétében szintén nagyobb arányban találtunk emelkedett szinteket (31,2% vs. 19,7%, p=0,034). A CSI előfordulása azonban a nyugalmi sCD163 szint mind a 4 kvartilisében hasonlónak mutatkozott (Q1: 28,7% Q2: 35,8% Q3: 29,4% és Q4: 33,3%), illetve a specifikus társbetegségek progressziójával sem találtunk összefüggést. A mortalitás szignifikáns kapcsolatot mutatott az sCD163 szinttel (Q4: 46,4% vs. Q1-3: 26,4-28,4-28,2% p=0,017).</w:t>
      </w:r>
      <w:r>
        <w:rPr>
          <w:color w:val="000000"/>
          <w:sz w:val="24"/>
          <w:szCs w:val="24"/>
        </w:rPr>
        <w:br/>
        <w:t xml:space="preserve">Következtetés: Adataink azt mutatják, hogy májzsugorban, különösen annak előrehaladott formáiban az sCD163 szint megemelkedik. A PH szövődményeinek progressziója nem volt gyakoribb magasabb értékek esetén, emiatt a marker stabil betegekben prognosztikai célra nem alkalmas. Az eredmények megkérdőjelezik az értékeknek a porta nyomással való összefüggését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TÁMOP-4.2.4.A/2-11/1-2012-0001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22047">
    <w:multiLevelType w:val="hybridMultilevel"/>
    <w:lvl w:ilvl="0" w:tplc="95693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22047">
    <w:abstractNumId w:val="63922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24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