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LAMPÉ</w:t>
            </w:r>
          </w:p>
          <w:p w:rsidR="00C275A3" w:rsidRDefault="00A96AEC" w:rsidP="00C275A3">
            <w:pPr>
              <w:pStyle w:val="Hallgatokepzes"/>
            </w:pPr>
            <w:r>
              <w:t>Faculty of Dentistry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Dentistry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Márta Alberth Ph.D., D.M.D.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Dental examination of extremely low birth weight children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alacsony születési súly az esetek legnagyobb részében a koraszülés következménye, de a terminusban született újszülöttek is lehetnek alacsony súlyúak. A koraszülöttek a 37. gestatiós hét előtt született újszülöttek, akik nem csak méreteikben különböznek az érett újszülöttektől, hanem fejlettségükben is. A koraszülöttekre jellemző instabil életfolyamatok miatt, speciális neonatológiai ápolást igényelnek, rögtön a születésük után. Feltételezhető, hogy a szövetek, szervek fejletlensége érinti a fogazatot illetve a szájüregi szöveteket is, ezért munkánkban arra kerestük a választ, kimutatható-e hosszú távú eltérés az általunk vizsgált, extrém alacsony súllyal született gyermekek fogazatában születési súlyuk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Vizsgálatainkat a DEOEC Neonatológiai osztályán kezelt 56, 1000 g alatti születési súlyú gyermekre, 31 fiúra és 25 lányra terjesztettük ki. Átlagos életkoruk 8 év volt. A gyermekek standard fogászati vizsgálata során felvettük a páciens fogazati státuszát, illetve fogazati rendellenességeit, rögzítettük a csírahiányt, az orthodonciai eltéréseket. Emellett a szülők kikérdezése során tájékozódtunk a gyermek általános betegségeiről, arra szedett gyógyszerekről, étkezési, édesség fogyasztási és fogmosási szokásaikról. Az adatokat statisztikai korrelációelemzés módszerével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Szignifikáns összefüggést találtunk az általános betegség és a fogmosási szokások, valamint a szuvasság között. (r=0,42) Egyértelmű kapcsolatot a fogazati eltérések és a születési súly között nem találtunk. Eredményeinket összevetve a feltételezéseinkkel és a világirodalomban talált korábbi vizsgálatokkal, ellentmondásos eredményeket is találtunk.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Eredményeink korábbi következtetésünket közvetlenül nem támasztják alá, de vizsgálataink rámutattak, hogy azoknál a gyermekeknél, akiknek a fogát a szülő mosta vagy közösen mosták, kisebb eséllyel alakult ki caries. Észleltük, hogy a születési súly és a szülő fogmosásban betöltött aktivitása fordítottan arányos, ezért feltételezhető, hogy a fejletlenebb, mozgáskoordinációjában elmaradottabb gyermek a normálishoz hasonló cariológiai státusza a szülői aktivitásnak köszönhető.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89589">
    <w:multiLevelType w:val="hybridMultilevel"/>
    <w:lvl w:ilvl="0" w:tplc="15192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89589">
    <w:abstractNumId w:val="973895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980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