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SZALMÁS ORSOLYA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Dankó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Nagy-Vincze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szakorvosjelölt,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juvenilis és felnőttkori dermatomyositises betegek kórlefolyásának és terápiára adott válaszának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idiopathiás inflammatorikus myopathiák közé tartozó juvenilis és felnőttkori dermatomyositisek (DM) szisztémás autoimmun megbetegedések. Fő jellegzetességük a proximális végtagizomzat szimmetrikus gyengesége és típusos bőrtünetek megjelenése. Jelenlegi vizsgálatunk célkitűzése, hogy összehasonlítsuk a felnőttkori illetve gyermekkori dermatomyositises betegeket terápiára adott válaszuk és kórlefolyásuk alapján.</w:t>
      </w:r>
      <w:r>
        <w:rPr>
          <w:color w:val="000000"/>
          <w:sz w:val="24"/>
          <w:szCs w:val="24"/>
        </w:rPr>
        <w:br/>
        <w:t xml:space="preserve">Vizsgálatunk során a DEOEC Belgyógyászati Intézet, Klinikai Immunológia Tanszék Myositis szakrendelése által gondozott 58 DM-es beteg adatát dolgoztuk fel. Ezen belül két betegcsoportot alakítottunk ki: a juvenilis (JDM: n=27, átlag életkoruk: 8,7 év) és a felnőttkori (DM: n=31, átlag életkoruk: 51,2 év) dermatomyositist. A csoportok közti különbségek összehasonlítására Pearson-féle chi-négyzet próbát alkalmaztunk. Az elemzések során a p≤0,05 értéket tekintettük szignifikánsnak.</w:t>
      </w:r>
      <w:r>
        <w:rPr>
          <w:color w:val="000000"/>
          <w:sz w:val="24"/>
          <w:szCs w:val="24"/>
        </w:rPr>
        <w:br/>
        <w:t xml:space="preserve">Statisztikailag szignifikáns különbséget találtunk a két betegcsoport között, annak alapján, hogy betegségük lefolyása során milyen gyógyszereket kaptak: a JDM-es betegek között szignifikánsan gyakrabban került sor cyclosporin A (p=0,20) és IVIG (p=0,059) alkalmazására. A kórlefolyás vizsgálata azt mutatta, hogy a felnőttkori DM-es betegek között az acut betegségkezdet (p=0,03) gyakrabban fordul elő. Gyermekekben a tünetek fokozatosan jelentkeznek. A betegek gondozása során azt tapasztaltuk, hogy a JDM-es páciensek követési ideje hosszabb, emiatt pedig a relapszusok átlagos száma is megnőtt, ami szignifikáns különbséget eredményezett a gyermekek körében (p=0,059).</w:t>
      </w:r>
      <w:r>
        <w:rPr>
          <w:color w:val="000000"/>
          <w:sz w:val="24"/>
          <w:szCs w:val="24"/>
        </w:rPr>
        <w:br/>
        <w:t xml:space="preserve">Vizsgálataink is igazolták azt a korábbi megfigyelést, hogy a gyermekkori és felnőttkori dermatomyositis terápiája és kórlefolyása is eltérő. Fontos a fenntartó terápia szinten tartása a komplett remisszió eléréséig, ezáltal csökkenthető a relapszusok száma. Továbbá nem szabad elfelejtkeznünk betegeink rendszeres gondozásáról a remisszió elérése után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88736">
    <w:multiLevelType w:val="hybridMultilevel"/>
    <w:lvl w:ilvl="0" w:tplc="43994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88736">
    <w:abstractNumId w:val="43188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875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