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ZSÓFIA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Zákány Róza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Somogyi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gyakornok,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chondrocyták CB1 receptor expressziója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elmúlt években több ország is engedélyezte cannabis alapú szerek használatát különböző vázrendszeri betegségek (oszteoarthritisz, rheumatoid arthritisz stb.) kezelésére, fájdalomcsillapító és gyulladáscsökkentő hatásuk következtében. Ezek a szerek főképp a Cannabinoid 1 és Cannabinoid 2 (CB1 és 2), hét transzmembrán szegmenssel rendelkező receptorokon keresztül fejtik ki hatásukat. A receptorok érett chondrocytákon és arthritiszes porcsejteken történő megjelenése ismert, differenciálódó porcsejtekben történő expressziójáról és szerepéről azonban szinte egyáltalán nem rendelkezünk információval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Vizsgálatainkhoz egér embriók (11,5 nap) végtagtelepeiből létrehozott nagy sejtsűrűségű porcosodó kultúrákat (HDC) használtunk fel. In vitro vizsgáltuk az Endocannabinoid Rendszer (ECR) tagjainak mRNS és fehérje szinten történő expresszióját szemikvantitatív RT-PCR és immuncitokémiai módszerek alkalmazásával ezen HDC-kben. Funkcionális vizsgálat céljából a kultúrákat CB1 agonistával (anandamid) és inverz agonistával (AM-251) kezeltük, majd dimetil-metilénkék (DMMK) festéssel és a kondrogenikus markerek, valamint a mátrixalkotók RT-PCR-ral történő monitorozásával megvizsgáltuk azok porcképződésre gyakorolt hatását.. In vivo vizsgálataink során különböző stádiumú porcszövetben követtük az ECR elemeinek mRNS expresszióját, valamint egér embriók végtagtelepeiben monitoroztuk a CB1 receptor fehérje szinten történő kifejeződését.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Eredményeink azt mutatják, hogy valamennyi általunk vizsgált ECR receptor és szintetizáló/lebontó enzim expresszálódik mRNS szinten a kondrogenikus kultúrákban. Fehérjeszinten a CB1 receptort mind HDC-ban, mind egér embrió végtagtelepeiben kimutattuk. A CB receptorok indukálta intracelluláris kalcium-koncentráció változások megfigyelése terveink között szerepel.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Eddigi vizsgálataink alapján úgy tűnik, hogy a CB1 receptoron alkalmazott farmakonok befolyásolják a kondrogenezis folyamatait.</w:t>
      </w:r>
      <w:r>
        <w:rPr>
          <w:color w:val="000000"/>
          <w:sz w:val="24"/>
          <w:szCs w:val="24"/>
        </w:rPr>
        <w:br/>
        <w:t xml:space="preserve">Támogatók:</w:t>
      </w:r>
      <w:r>
        <w:rPr>
          <w:color w:val="000000"/>
          <w:sz w:val="24"/>
          <w:szCs w:val="24"/>
        </w:rPr>
        <w:br/>
        <w:t xml:space="preserve">A kutatás az Európai Unió és Magyarország támogatásával a TÁMOP 4.2.4.A/2-11-1-2012-0001 számú „Nemzeti Kiválóság Program” – Hazai hallgatói, illetve kutatói személyi támogatás konvergencia program” című projekt keretei között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24642">
    <w:multiLevelType w:val="hybridMultilevel"/>
    <w:lvl w:ilvl="0" w:tplc="62656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24642">
    <w:abstractNumId w:val="32224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564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