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ELEK GERGŐ KOVÁCS</w:t>
            </w:r>
          </w:p>
          <w:p w:rsidR="00C275A3" w:rsidRDefault="00A96AEC" w:rsidP="00C275A3">
            <w:pPr>
              <w:pStyle w:val="Hallgatokepzes"/>
            </w:pPr>
            <w:r>
              <w:t>Biotechnology MSc</w:t>
            </w:r>
            <w:r>
              <w:br/>
            </w:r>
            <w:r w:rsidR="00E77B23">
              <w:t>MSc, 11.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János Mótyán</w:t>
            </w:r>
          </w:p>
          <w:p w:rsidR="00DB4822" w:rsidRDefault="00DB4822" w:rsidP="009763E0">
            <w:pPr>
              <w:pStyle w:val="Konzulensektitulus"/>
            </w:pPr>
            <w:r w:rsidRPr="00DB4822">
              <w:t>assistant lecturer,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Studies on the human NOD-like receptor family CARD domain containing 5 (NLRC5) protein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NOD-like receptor (NLR) családba tartozó fehérjéknek fontos szerepe van a veleszületett immunválasz szabályozásában, melyek, mint mintázat felismerő receptorok részt vesznek a mikrobiális és veszélyforrásokat jelző molekuláris mintázatok felismerésében a gerincesekben. Az NLRC5 fehérje ezen receptor család nagy molekulatömegű (1866 aminosav hosszú, 204 kDa), szokatlanul nagy számú leucinban gazdag ismétlődést tartalmazó különleges tagja, melynek kaszpáz aktivációért felelős effektor doménje (CARD) csak kismértékű hasonlóságot mutat a tipikus CARD domén szekvenciákkal. Az NLRC5-nek az MHCI transzkripció szabályozásában, továbbá különböző jelátviteli utak szabályozásában is szerepe van. Bár az NLRC5 egy intenzíven tanulmányozott receptor, közvetlen ligandja még ismeretlen és szerepe az inflammaszóma aktivációban a mai napig vitatott. Laboratóriumunk a közelmúltban publikálta a teljes hosszúságú monomer, valamint a homo-heptamer humán NLRC5 fehérje homológ modelljét. Munkánk célja a javasolt modellek helyességének igazolása biokémiai kísérletekkel.</w:t>
      </w:r>
    </w:p>
    <w:p>
      <w:pPr>
        <w:widowControl w:val="on"/>
        <w:pBdr/>
        <w:spacing w:before="240" w:after="240" w:line="240" w:lineRule="auto"/>
        <w:ind w:left="0" w:right="0"/>
        <w:jc w:val="left"/>
      </w:pPr>
      <w:r>
        <w:rPr>
          <w:color w:val="000000"/>
          <w:sz w:val="24"/>
          <w:szCs w:val="24"/>
        </w:rPr>
        <w:t xml:space="preserve">Módszerek: A Flag-tag jelölt humán NLRC5 fehérjét 293T sejtekben expresszáltattuk. A fúziós fehérje Western-blottal történő kimutatására anti-Flag és anti-NLRC5 antitesteket teszteltünk. Az anti-Flag antitestek használatával sikeresen kimutattuk az overexpresszált fehérjét, míg az anti-NLRC5 antitestek kevésbé bizonyultak hatékonynak az NLRC5 fehérje kimutatásában. Az NLRC5 molekulatömegének meghatározása céljából gélszűrést végeztünk.</w:t>
      </w:r>
    </w:p>
    <w:p>
      <w:pPr>
        <w:widowControl w:val="on"/>
        <w:pBdr/>
        <w:spacing w:before="240" w:after="240" w:line="240" w:lineRule="auto"/>
        <w:ind w:left="0" w:right="0"/>
        <w:jc w:val="left"/>
      </w:pPr>
      <w:r>
        <w:rPr>
          <w:color w:val="000000"/>
          <w:sz w:val="24"/>
          <w:szCs w:val="24"/>
        </w:rPr>
        <w:t xml:space="preserve">Eredmények: Eredményeink alapján valószínűsíthető az overexpresszált NLRC5 feltételezett oligomerizációja. Az NLRC5 fehérje azonosítására egy MRM-alapú eljárás is kidolgozásra került, melynek segítségével igazoltuk, hogy a nem-transzfektált kontroll sejtekkel ellentétben a transzfektált 293T sejtek képesek az NLRC5 fehérje termelésére. A jövőben a kidolgozott módszer alkalmas lehet az NLRC5 fehérje különböző körülmények közötti expressziójának vizsgálatát és immunológiai funkcióinak feltárását célzó kísérleteinkben.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88144">
    <w:multiLevelType w:val="hybridMultilevel"/>
    <w:lvl w:ilvl="0" w:tplc="81585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88144">
    <w:abstractNumId w:val="173881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82015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