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ERIKA ROZÁLIA</w:t>
            </w:r>
          </w:p>
          <w:p w:rsidR="00C275A3" w:rsidRDefault="00A96AEC" w:rsidP="00C275A3">
            <w:pPr>
              <w:pStyle w:val="Hallgatokepzes"/>
            </w:pPr>
            <w:r>
              <w:t>Molekuláris biológia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Bereczky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Ritka hemorrhagiás diathesisben szenvedő gyermekek komplex laboratóriumi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ritka, veleszületett hemorrhagiás diathesisek érinthetik a koagulációs kaszkád fehérjéit, a vérlemezkéket és a vaszkulaturát. A háttérben álló genetikai eltérések igen heterogének, mutációs forró pontok az érintett fehérjék génjeiben nincsenek, nem ritkán több gén mutációi is felelhetnek a tünetekért. A vérzékenység időnként egyéb tünetekkel kapcsolódva szindrómákat alkot, ez esetekben a genetikai háttér felderítése még bonyolultabb lehet. A genetikai eltérések kimutatására a fejlett országok túlnyomó többségének van lehetősége, a fejlődő államok esetében azonban sem a személyi, sem a tárgyi feltételek nem adottak.</w:t>
      </w:r>
      <w:r>
        <w:rPr>
          <w:color w:val="000000"/>
          <w:sz w:val="24"/>
          <w:szCs w:val="24"/>
        </w:rPr>
        <w:br/>
        <w:br/>
        <w:t xml:space="preserve">Célunk volt egy magyar VII-es faktor (FVII) hiányos gyermek, egy pakisztáni XIII-as faktor (FXIII) hiányos család és két Hermansky-Pudlak szindrómában (HPS) szenvedő magyar gyermek esetében a betegségeket okozó genetikai eltérések feltérképezése.</w:t>
      </w:r>
      <w:r>
        <w:rPr>
          <w:color w:val="000000"/>
          <w:sz w:val="24"/>
          <w:szCs w:val="24"/>
        </w:rPr>
        <w:br/>
        <w:br/>
        <w:t xml:space="preserve">A hemosztázis laboratóriumi vizsgálatokat, melyek alapján a fenotípus megállapítása történt, a Laboratóriumi Medicina Intézet és a Klinikai Kutató Központ végezte. A perifériás alvadásgátolt mintából végzett DNS izolálást követően a FVII (F7) és FXIII A alegység (F13A1) gének szekvenálása az intézetben korábban kidolgozott módszerrel történt, a HPS esetében a szindróma hátterében gyakrabban érintett gének szekvenálására jelen vizsgálat alkalmával dolgoztunk ki módszereket.</w:t>
      </w:r>
      <w:r>
        <w:rPr>
          <w:color w:val="000000"/>
          <w:sz w:val="24"/>
          <w:szCs w:val="24"/>
        </w:rPr>
        <w:br/>
        <w:br/>
        <w:t xml:space="preserve">A pakisztáni FXIII deficiens lánygyermek FXIII aktivitása és antigén szintje súlyosan csökkent és homozigóta az irodalomban még nem említett, IVS 11(+1) G&gt;A mutációra. Az apa és az anya heterozigóta hordozók. A FVII deficiens fiúgyermeknél összetett heterozigóta állapotot igazoltunk, a F7 1A-55C&gt;T eltérés társult a p.Arg413Gln mutációval. Az édesanya ez utóbbi mutációra heterozigóta, az apa nem volt elérhető. A Hermansky-Pudlak szindrómában szenvedő 5 éves kislánynál a HPS1 génben két heterozigóta eltérést, egy deléciót (c.355delC) és egy inszerciót (c.972dupC) találtunk. Mindkét mutáció frameshift-hez és a fehérje korai láncterminációjához vezet. A 2 éves kislánynál a HPS4 génben találtuk meg a betegséget okozó heterozigóta eltéréseket (p.Arg217X és p.Gln277X). Mindkét mutáció korai stop kodonhoz és csonkolt fehérje kialakulásához vezet.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96199">
    <w:multiLevelType w:val="hybridMultilevel"/>
    <w:lvl w:ilvl="0" w:tplc="22131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96199">
    <w:abstractNumId w:val="853961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8526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