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MÁTÉ TÖRKÖLY</w:t>
            </w:r>
          </w:p>
          <w:p w:rsidR="00C275A3" w:rsidRDefault="00A96AEC" w:rsidP="00C275A3">
            <w:pPr>
              <w:pStyle w:val="Hallgatokepzes"/>
            </w:pPr>
            <w:r>
              <w:t>General medicine</w:t>
            </w:r>
            <w:r>
              <w:br/>
            </w:r>
            <w:r w:rsidR="00E77B23">
              <w:t>Unified, 9. semester</w:t>
            </w:r>
          </w:p>
          <w:p w:rsidR="00C265CE" w:rsidRPr="009E5FF1" w:rsidRDefault="00E77B23" w:rsidP="009763E0">
            <w:pPr>
              <w:pStyle w:val="Hallgatointezmeny-kar"/>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Mátyás Benyó Ph.D., M.D.</w:t>
            </w:r>
          </w:p>
          <w:p w:rsidR="00DB4822" w:rsidRDefault="00DB4822" w:rsidP="009763E0">
            <w:pPr>
              <w:pStyle w:val="Konzulensektitulus"/>
            </w:pPr>
            <w:r w:rsidRPr="00DB4822">
              <w:t>assistant frofessor,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Etiology and therapy of priapism in clinical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priapizmus szexuális vágytól, stimulációtól független, tartós, akaratlan merevedést jelent. Gyakoriságát megközelítőleg 0,3-2,9/100000 főre becsülik. Három forma különíthető el: ischaemiás, nem ischaemiás illetve a visszatérő. Alacsony áramlású és rekurrens típus esetén a corpus cavernosumok ischaemiás károsodása következtében súlyos szövődmények léphetnek fel. Éppen ezért a korai felismerése és kezelés elengedhetetlen.</w:t>
      </w:r>
    </w:p>
    <w:p>
      <w:pPr>
        <w:widowControl w:val="on"/>
        <w:pBdr/>
        <w:spacing w:before="240" w:after="240" w:line="240" w:lineRule="auto"/>
        <w:ind w:left="0" w:right="0"/>
        <w:jc w:val="left"/>
      </w:pPr>
      <w:r>
        <w:rPr>
          <w:color w:val="000000"/>
          <w:sz w:val="24"/>
          <w:szCs w:val="24"/>
        </w:rPr>
        <w:t xml:space="preserve">Módszerek: Jelen vizsgálat során retrospektíven elemeztük 2003 és 2013 között a Debreceni Egyetem Urológiai Klinikáján priapizmus diagnózissal kezelt betegek kórtörténetét.</w:t>
      </w:r>
    </w:p>
    <w:p>
      <w:pPr>
        <w:widowControl w:val="on"/>
        <w:pBdr/>
        <w:spacing w:before="240" w:after="240" w:line="240" w:lineRule="auto"/>
        <w:ind w:left="0" w:right="0"/>
        <w:jc w:val="left"/>
      </w:pPr>
      <w:r>
        <w:rPr>
          <w:color w:val="000000"/>
          <w:sz w:val="24"/>
          <w:szCs w:val="24"/>
        </w:rPr>
        <w:t xml:space="preserve">Eredmények: Fenti időszakban 11 páciens jelentkezett Klinikánkon tartós merevedéssel. Tíz beteg esetén egyértelműen igazolódott az ischaemiás kórkép, ezek közül egy páciensnél visszatérő formában is. A legtöbb alacsony áramlású eset (4 fő) valamilyen intracavernosus hatóanyag (papaverin) adagolása után alakult ki. Tumoros (többszörös gáttájéki malignus folyamat) és hematológiai (CML) etiológiai tényezők, továbbá idiopathiás forma (3 fő) is előfordult. Az intracavernosus szimpathomimetikum volt a legáltalánosabban alkalmazott terápia (8fő), továbbá a punkció és leszívás (6fő). Egy esetben történt glandulo-cavernosus shunt kialakítása. A tumoros előzmények következtében kialakult priapizmus esetén az intracavernosus terápia hatástalansága és a kialakult necrosisok miatt spongiocavernosus shunt készítés történt, majd további progresszió miatt húgycsőresectio, excisio és gáti urethrostoma létesítés történt. A rekurrens priapizmus hátterében fogyasztószerek használata és obezitás merült fel. Három ischaemiás epizód eredményesen kezelhető volt vérlebocsátás, intracavernosus epinephrin és jegelés segítségével. Később súlyos recidíva miatt Quackel és Winkel shunt kialakítása történt. A betegeknél leggyakrabban előforduló maradványtünet az erektilis diszfunkció, illetve a gáti diszkomfort voltak.</w:t>
      </w:r>
    </w:p>
    <w:p>
      <w:pPr>
        <w:widowControl w:val="on"/>
        <w:pBdr/>
        <w:spacing w:before="240" w:after="240" w:line="240" w:lineRule="auto"/>
        <w:ind w:left="0" w:right="0"/>
        <w:jc w:val="left"/>
      </w:pPr>
      <w:r>
        <w:rPr>
          <w:color w:val="000000"/>
          <w:sz w:val="24"/>
          <w:szCs w:val="24"/>
        </w:rPr>
        <w:t xml:space="preserve">Következtetés: Bár ritka kórképről van szó, a megfelelő diagnosztikai és kezelési mód részletes ismerete elengedhetetlen az urológiai szakellátóknak. Az etiológiai okok sokszínűsége miatt azonban a társszakmák művelői és elsősorban a sürgősségi betegellátó személyzet számára is fontos a differenciáldiagnosztikai tudás.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96399">
    <w:multiLevelType w:val="hybridMultilevel"/>
    <w:lvl w:ilvl="0" w:tplc="97651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96399">
    <w:abstractNumId w:val="27396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586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