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PATRICIA-SEKK</w:t>
            </w:r>
          </w:p>
          <w:p w:rsidR="00C275A3" w:rsidRDefault="00A96AEC" w:rsidP="00C275A3">
            <w:pPr>
              <w:pStyle w:val="Hallgatokepzes"/>
            </w:pPr>
            <w:r>
              <w:t>physiotherapy</w:t>
            </w:r>
            <w:r>
              <w:br/>
            </w:r>
            <w:r w:rsidR="00E77B23">
              <w:t>BSc, 6. semester</w:t>
            </w:r>
          </w:p>
          <w:p w:rsidR="00C265CE" w:rsidRPr="009E5FF1" w:rsidRDefault="00E77B23" w:rsidP="00BA6BAF">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Melinda-Jaromi</w:t>
            </w:r>
          </w:p>
          <w:p w:rsidR="00DB4822" w:rsidRDefault="00DB4822" w:rsidP="00BA6BAF">
            <w:pPr>
              <w:pStyle w:val="Konzulensektitulus"/>
            </w:pPr>
            <w:r w:rsidRPr="00DB4822">
              <w:t>assistant professor, PTE ETK</w:t>
            </w:r>
          </w:p>
        </w:tc>
      </w:tr>
      <w:tr w:rsidR="00DB4822" w:rsidTr="00DB4822">
        <w:tc>
          <w:tcPr>
            <w:tcW w:w="9854" w:type="dxa"/>
          </w:tcPr>
          <w:p w:rsidR="00DB4822" w:rsidRPr="00DB4822" w:rsidRDefault="00DB4822" w:rsidP="00BA6BAF">
            <w:pPr>
              <w:pStyle w:val="Konzulenseknev"/>
            </w:pPr>
            <w:r w:rsidRPr="00DB4822">
              <w:t>Pongrac-Acs</w:t>
            </w:r>
          </w:p>
          <w:p w:rsidR="00DB4822" w:rsidRDefault="00DB4822" w:rsidP="00BA6BAF">
            <w:pPr>
              <w:pStyle w:val="Konzulensektitulus"/>
            </w:pPr>
            <w:r w:rsidRPr="00DB4822">
              <w:t>associate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Posture examination in basketball players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basketball; posture; lumbar motor control</w:t>
      </w:r>
      <w:r>
        <w:t xml:space="preserve"/>
      </w:r>
    </w:p>
    <w:p>
      <w:pPr>
        <w:widowControl w:val="on"/>
        <w:pBdr/>
        <w:spacing w:before="240" w:after="240" w:line="240" w:lineRule="auto"/>
        <w:ind w:left="0" w:right="0"/>
        <w:jc w:val="left"/>
      </w:pPr>
      <w:r>
        <w:rPr>
          <w:color w:val="000000"/>
          <w:sz w:val="24"/>
          <w:szCs w:val="24"/>
        </w:rPr>
        <w:t xml:space="preserve">Posture problems occur more frequently in children 8-18 age range. Sport can help with the reduction of consequences of sedentary lifestyle, but postural abnormalities can also caused by the unilateral strain. The aim of our study was to examine the posture and the posture-influential parameters in children 8-18 age range. Another goal of our study was to compare the habitual posture of the basketballers with children similar age range, but other activity level. We examined 210 basketballers, but only 83 of them (52 boys, 31 girls) had appreciable picture to the analyze. Their mean age was 13,1 years (8-18 years). They spent 4,3 hours per week with sport. We examined the habitual posture in front view and profile with photo-analysis. We used SPSS Version 20.0 to analyse the data. Postural abnormalities occured in large numbers in the group of basketballers. We found asymmetrical trunk-arm triangle in 77,8%, these were the most common problems. The correlation between the spine curvatures and the lumbar motor control and between the position in shoulders and the arm dominance were not significant. In our study we found similar results to the data in the international and Hungarian literatures. Our results do not differ greatly from those examined in the group of musicians and from children similar age range, but other activity level. Based on our research, it seems that only the sport is not enough to reach and keep the physiological posture.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50217">
    <w:multiLevelType w:val="hybridMultilevel"/>
    <w:lvl w:ilvl="0" w:tplc="68976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50217">
    <w:abstractNumId w:val="871502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459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