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ÁRPÁSI LUCA</w:t>
            </w:r>
          </w:p>
          <w:p w:rsidR="00C275A3" w:rsidRDefault="00A96AEC" w:rsidP="00C275A3">
            <w:pPr>
              <w:pStyle w:val="Hallgatokepzes"/>
            </w:pPr>
            <w:r>
              <w:t>Jogász</w:t>
            </w:r>
            <w:r>
              <w:br/>
            </w:r>
            <w:r w:rsidR="00E77B23">
              <w:t>Osztatlan, 8.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Kovács Péter</w:t>
            </w:r>
          </w:p>
          <w:p w:rsidR="00DB4822" w:rsidRDefault="00DB4822" w:rsidP="009763E0">
            <w:pPr>
              <w:pStyle w:val="Konzulensektitulus"/>
            </w:pPr>
            <w:r w:rsidRPr="00DB4822">
              <w:t>egyetemi tanár,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regionális halászati gazdálkodási szervezetek mint az államok közötti együttműködés fórumai a megosztott haállományok kezelésére, az EU és a Feröer-szigetek hering vitája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megosztott tengeri halállományok kezelésének szabályozását vizsgálom. Számos halállomány több állam joghatósága alá tartozó területen található meg, az államok pedig gyakran nem értenek egyet a kihalászható mennyiség kérdésében. Ez számos problémához vezet, melyek közül a legsúlyosabb akár egy halállomány kipusztulása is lehet. A halállományok természetéből fakadóan nemzetközi összehangolt szabályozás szükséges, melynek alapjait a Nemzetközi Tengerjogi Egyezmény (UNCLOS) és a Halállomány Megállapodás (UNFSA) képezi. Az államok közötti együttműködésre vonatkozó előírások vizsgálata, és ehhez kapcsolódóan a regionális halászati gazdálkodási szervezetekre vonatkozó rendelkezések vizsgálatát követően az EU és a Feröer-szigetek közötti halászati vitát mutatom be, mely egy a számos vita közül, mely a halászható mennyiségekhez kapcsolódó nézeteltérésekből fakad. A heringállományt érintő vita elemzése során az Északkelet-atlanti Halászati Bizottság vitarendezési mechanizmusát és az egyéb nemzetközi jogi, tengerjogi vitarendezési fórumokat vizsgálom. Végső konklúzióként megállapítom, hogy az UNCLOS által meghatározott együttműködési kötelezettség túlságosan tág teret hagy az államoknak az együttműködés alóli kibúvásra, és a már létrehozott regionális halászati gazdálkodási szervezeteken belüli együttműködés szabályozása is bizonytalan. A hering vita rávilágít a nemzetközi jog, a tengerjog terén létező számos vitarendezési fórum, illetve a különböző vitarendezési mechanizmusok közötti koherencia problémáira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72585">
    <w:multiLevelType w:val="hybridMultilevel"/>
    <w:lvl w:ilvl="0" w:tplc="84423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72585">
    <w:abstractNumId w:val="789725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277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