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 BALÁZS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Kiss Amarilla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"Responsibility to Protect" és alkalmazásának kihívásai a nemzetközi jogban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Dolgozatomnak mindenképp olyan témát kívántam választani, ami a nemzetközi jog egy érdekes szegmensét dolgozza fel és van valamiféle aktualitása. Választásom végül a védelmi felelősség elvére esett, ami véleményem szerint mindkét kritériumnak tökéletesen megfelel.</w:t>
      </w:r>
      <w:r>
        <w:rPr>
          <w:color w:val="000000"/>
          <w:sz w:val="24"/>
          <w:szCs w:val="24"/>
        </w:rPr>
        <w:br/>
        <w:t xml:space="preserve">Dolgozatomban a hagyományás válságkezelési módszereket (Szomália és Ruanda) hasonlítom össze az R2P új válságkezelési stratégiáival (Líbia és Szíria).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Líbia és Szíria kapcsán látható, hogy a védelmi felelősség elve számos újítás ellenére nem váltotta be a hozzá fűzött reményeket. A líbiai intervenció kulcsa a BT tagok, ha nem is egyetértése, de hallgatólagos beleegyezése volt. Líbia kapcsán az oroszok és a kínaiak is zöld utat adtak a beavatkozásnak, nem vétózták meg a BT elé terjesztett javaslatokat, míg Szíria kapcsán már éltek vétójogukkal.</w:t>
      </w:r>
      <w:r>
        <w:rPr>
          <w:color w:val="000000"/>
          <w:sz w:val="24"/>
          <w:szCs w:val="24"/>
        </w:rPr>
        <w:br/>
        <w:t xml:space="preserve">Egyik esetben sem a tényleges történések döntötték el a beavatkozás kérdését, a BT határozatokat nem az emberi szenvedés mértéke szerint adták ki és nem is a megfigyelők jelentéseire alapozták. A BT mindkét esetben politikai okok figyelembevételével hozott döntést, ahogy korábbi konfliktusok esetében is, mivel egy politikai szerv. Mivel Szíria esetében nem volt egységes a politikai akarat a BT tagok között, ezért ott nem is történt beavatkozás. Ez felveti a BT és az egész ENSZ esetleges szerkezeti reformját, ami ellen azonban a BT-ben állandó tagsággal rendelkező hatalmak tiltakoznak és folyamatosan megvétózzák az erre irányuló kísérleteket.</w:t>
      </w:r>
      <w:r>
        <w:rPr>
          <w:color w:val="000000"/>
          <w:sz w:val="24"/>
          <w:szCs w:val="24"/>
        </w:rPr>
        <w:br/>
        <w:t xml:space="preserve">A legtöbb szakértő véleménye szerint az R2P a számos fent említett újítás ellenére sem vált egy tiszta jogi koncepcióvá, vegyíti a jogi és politikai alapokat. Kérdéses persze, hogy válhat-e egyáltalán egy tisztán jogi koncepcióvá, ahol a beavatkozó állam mindenfajta politikai hátsó szándék nélkül az emberi szenvedés megakadályozását tűzi ki célul egy beavatkozás során, hiszen a történelmi példákat tekintve a beavatkozások mindig is a nagyhatalmak hatalmi játszmái volt és legfőbb meghatározójuk a politika és a pénz voltak.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984459">
    <w:multiLevelType w:val="hybridMultilevel"/>
    <w:lvl w:ilvl="0" w:tplc="632231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984459">
    <w:abstractNumId w:val="859844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32320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