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VIDRA</w:t>
            </w:r>
          </w:p>
          <w:p w:rsidR="00C275A3" w:rsidRDefault="00A96AEC" w:rsidP="00C275A3">
            <w:pPr>
              <w:pStyle w:val="Hallgatokepzes"/>
            </w:pPr>
            <w:r>
              <w:t>graphic artist</w:t>
            </w:r>
            <w:r>
              <w:br/>
            </w:r>
            <w:r w:rsidR="00E77B23">
              <w:t>MA, 6.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Albert</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now 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1. [From now on; enamel on iron plate 21x39cm]</w:t>
      </w:r>
      <w:r>
        <w:rPr>
          <w:color w:val="000000"/>
          <w:sz w:val="24"/>
          <w:szCs w:val="24"/>
        </w:rPr>
        <w:br/>
        <w:t xml:space="preserve">2. [Table 1-6, enamel on iron plate, 6 pieces, 22 x59 cm each]</w:t>
      </w:r>
    </w:p>
    <w:p>
      <w:pPr>
        <w:widowControl w:val="on"/>
        <w:pBdr/>
        <w:spacing w:before="240" w:after="240" w:line="240" w:lineRule="auto"/>
        <w:ind w:left="0" w:right="0"/>
        <w:jc w:val="left"/>
      </w:pPr>
      <w:r>
        <w:rPr>
          <w:color w:val="000000"/>
          <w:sz w:val="24"/>
          <w:szCs w:val="24"/>
        </w:rPr>
        <w:t xml:space="preserve">The possibility of transitions between different disciplines has always interested me and has inspired my works several times. From this point starts this work as well: the series titled “Table 1-6”, and the closely connected plate titled “From now on”, which together form one piece of art eventually. Relations between text and image, potential connections between verbal and visual expression – and the demanding of investigation of those – have been present in my works for years now, although mostly by direct relations of text and image. However, these pieces abandon component of picture and concentrate only on the text, the visual appearance of the text, and supplementary layers of meanings held by the medium itself.</w:t>
      </w:r>
      <w:r>
        <w:rPr>
          <w:color w:val="000000"/>
          <w:sz w:val="24"/>
          <w:szCs w:val="24"/>
        </w:rPr>
        <w:br/>
        <w:t xml:space="preserve">Pieces of “Table 1-6” are made by enameling on stove-parts which did not meet the strict requirements of quality-supervision of manufacturing process – just like table “From now on”, even though this one is not made on an unserviceable component, but on a waste-material arose while manufacturing. Both have material of iron-sheet, or iron-plate, and both are wastes.</w:t>
      </w:r>
      <w:r>
        <w:rPr>
          <w:color w:val="000000"/>
          <w:sz w:val="24"/>
          <w:szCs w:val="24"/>
        </w:rPr>
        <w:br/>
        <w:t xml:space="preserve">On each piece of “Table 1-6” stands one Hungarian phrase (dictum) which was a little bit changed by me (the last letters or voces were eliminated thus forming new, sensible statements), on the plate “From now on” stands the frequently repeated promise: From now on, every day (I will) … The space serves for the visitors to place their own promises by means of a whiteboard-marker (and of course, by re-writing the previous visitor’s promise.)</w:t>
      </w:r>
      <w:r>
        <w:rPr>
          <w:color w:val="000000"/>
          <w:sz w:val="24"/>
          <w:szCs w:val="24"/>
        </w:rPr>
        <w:br/>
        <w:t xml:space="preserve">With the help of the real content and supplementary surplus of meaning of the medium this work reflects on questions of changeability and non-changeability, and indicates thoughts dealing with questioning and critical approach itself.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86576">
    <w:multiLevelType w:val="hybridMultilevel"/>
    <w:lvl w:ilvl="0" w:tplc="70856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86576">
    <w:abstractNumId w:val="49486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6518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