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MÁRK</w:t>
            </w:r>
          </w:p>
          <w:p w:rsidR="00C275A3" w:rsidRDefault="00A96AEC" w:rsidP="00C275A3">
            <w:pPr>
              <w:pStyle w:val="Hallgatokepzes"/>
            </w:pPr>
            <w:r>
              <w:t>Képzőművész-tanár</w:t>
            </w:r>
            <w:r>
              <w:br/>
            </w:r>
            <w:r w:rsidR="00E77B23">
              <w:t>MA, 10. félév</w:t>
            </w:r>
          </w:p>
          <w:p w:rsidR="00C265CE" w:rsidRPr="009E5FF1" w:rsidRDefault="00E77B23" w:rsidP="009763E0">
            <w:pPr>
              <w:pStyle w:val="Hallgatointezmeny-kar"/>
              <w:rPr>
                <w:b/>
                <w:caps/>
              </w:rPr>
            </w:pPr>
            <w:r>
              <w:t>Magyar Képzőművészeti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Varga Tünde</w:t>
            </w:r>
          </w:p>
          <w:p w:rsidR="00DB4822" w:rsidRDefault="00DB4822" w:rsidP="009763E0">
            <w:pPr>
              <w:pStyle w:val="Konzulensektitulus"/>
            </w:pPr>
            <w:r w:rsidRPr="00DB4822">
              <w:t>egyetemi docens,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fenséges problematikája Kantnál”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dolgozatommal kísérletet teszek arra, hogy Az ítélőerő kritikája első könyvében központi szerepet kapó két fogalmat – a fenségest és a szépet – a kanti metafizika rendszerén belül vizsgáljam.</w:t>
      </w:r>
      <w:r>
        <w:rPr>
          <w:color w:val="000000"/>
          <w:sz w:val="24"/>
          <w:szCs w:val="24"/>
        </w:rPr>
        <w:br/>
        <w:t xml:space="preserve">Művészetelmélettel foglalkozó írások gyakran járnak el úgy, hogy Kant harmadik Kritikájára mint az esztétika egyik alapművére hivatkoznak, annak érdekében, hogy saját esztétikájuk minőségkategóriáinak alapjait lerakják, és azok határait meghúzzák. Ekkor műtárgyakat, műveket (vagy éppen alkotói hozzáállásokat) jelölnek meg a fenséges, vagy a szép jelzővel.</w:t>
      </w:r>
      <w:r>
        <w:rPr>
          <w:color w:val="000000"/>
          <w:sz w:val="24"/>
          <w:szCs w:val="24"/>
        </w:rPr>
        <w:br/>
        <w:t xml:space="preserve">Ám Kant harmadik Kritikája nem azzal foglalkozik, hogy összegyűjtse a szép és a fenséges tárgyak jellemzőit. Ehelyett azt vizsgálja, hogy milyen viszonyok jellemzik az ítélő elméjét mikor olyan tárgyakat észlel, melyeket fenségesnek vagy szépnek ítél.</w:t>
      </w:r>
      <w:r>
        <w:rPr>
          <w:color w:val="000000"/>
          <w:sz w:val="24"/>
          <w:szCs w:val="24"/>
        </w:rPr>
        <w:br/>
        <w:t xml:space="preserve">Így a dolgozatban én is azt vizsgálom, hogy az egyes esztétikai ítéleteket az elmeképességek milyen egymáshoz való viszonyai jellemzik, és, hogy ezek a viszonyok esztétikai ítéletenként hogyan különböznek. Ehhez a vizsgálathoz pedig vezérfonálként azt az elgondolást választottam, miszerint megpróbálkozom annak igazolásával, hogy a két-két fajta szép és fenséges párba állíthatók (természeti szép – matematikai fenséges, és szép művészet – dinamikai fenséges). Még pedig aszerint, hogy a szép tapasztalata mindig az elmerők egyfajta habituális működése által lehetséges, és így ezen működésnek a jogosultságát erősíti meg a szép élménye. Ezzel szemben a fenséges arra mutat rá, hogy az elmeerőknek az előbbi működése esetleges beállítódások révén lehetséges, úgy, hogy ez a beállítódás a közönséges tapasztalás körülményeinek, és követelményeinek megfeleljen.</w:t>
      </w:r>
      <w:r>
        <w:rPr>
          <w:color w:val="000000"/>
          <w:sz w:val="24"/>
          <w:szCs w:val="24"/>
        </w:rPr>
        <w:br/>
        <w:t xml:space="preserve">Ez a feltevésem részben bizonyítható volt (a természeti szép és a matematikai fenséges kapcsán), másrészt viszont nem bizonyult igazolhatónak (a szép művészet és a dinamikai fenséges tekintetében).</w:t>
      </w:r>
      <w:r>
        <w:rPr>
          <w:color w:val="000000"/>
          <w:sz w:val="24"/>
          <w:szCs w:val="24"/>
        </w:rPr>
        <w:br/>
        <w:t xml:space="preserve">Ugyanakkor a szép és a fenséges fenti két-két fajtájának párba állíthatósága az utóbbi csoport (a szép művészet és a dinamikai fenséges) esetében is megmaradt, ugyanis ezen négy esztétikai ítélet mindegyike a kanti tiszta értelmi fogalmak két nagy csoportjának egyikével hozhatók összefüggésbe, mégpedig a fentebb meghatározott párok egyike a tiszta értelmi fogalmak egyik, a másik pár pedig a tiszta értelmi fogalmak másik csoportjához társítható.</w:t>
      </w:r>
      <w:r>
        <w:rPr>
          <w:color w:val="000000"/>
          <w:sz w:val="24"/>
          <w:szCs w:val="24"/>
        </w:rPr>
        <w:br/>
        <w:t xml:space="preserve">Ekképpen értelmezve az esztétikai ítéleteket, a Kritikának – meglátásom szerint – egy rendszerezettebb megértésére nyílik lehetőség.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135418">
    <w:multiLevelType w:val="hybridMultilevel"/>
    <w:lvl w:ilvl="0" w:tplc="178934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135418">
    <w:abstractNumId w:val="691354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10573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