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GYULA VASTAG</w:t>
            </w:r>
          </w:p>
          <w:p w:rsidR="00C275A3" w:rsidRDefault="00A96AEC" w:rsidP="00C275A3">
            <w:pPr>
              <w:pStyle w:val="Hallgatokepzes"/>
            </w:pPr>
            <w:r>
              <w:t>law enforcement management</w:t>
            </w:r>
            <w:r>
              <w:br/>
            </w:r>
            <w:r w:rsidR="00E77B23">
              <w:t>MA, 4.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Budaházi PhD.</w:t>
            </w:r>
          </w:p>
          <w:p w:rsidR="00DB4822" w:rsidRDefault="00DB4822" w:rsidP="00E11062">
            <w:pPr>
              <w:pStyle w:val="Konzulensek"/>
            </w:pPr>
            <w:r w:rsidRPr="00DB4822">
              <w:t>college senior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legal assistance in criminal matters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a cliche, but nowadays it’s especially true, that members of the law enforcement authorities primarily know the system of law of their own, while criminals don’t care what protected values of legal systems they infringe.</w:t>
      </w:r>
    </w:p>
    <w:p>
      <w:pPr>
        <w:widowControl w:val="on"/>
        <w:pBdr/>
        <w:spacing w:before="240" w:after="240" w:line="240" w:lineRule="auto"/>
        <w:ind w:left="0" w:right="0"/>
        <w:jc w:val="left"/>
      </w:pPr>
      <w:r>
        <w:rPr>
          <w:color w:val="000000"/>
          <w:sz w:val="24"/>
          <w:szCs w:val="24"/>
        </w:rPr>
        <w:t xml:space="preserve">This study shows the international assistance in criminal matters as a way to combat the more and more globalizing delinquency. The author’s main purpose was to give an overview of this type of cooperation and its relevant rules. Having clarified the basic definitions, he describes the history of development of this field of law, and examines its relation to criminal cooperation. The main frame of study is about reviewing the practical and theoretical sides of each form of juridical assistance. Beside the presentation of his subjective experiences, it suggests potential trends of development, and improvement with emphasising the fact that it is one of the most intensively changing areas of law.</w:t>
      </w:r>
    </w:p>
    <w:p>
      <w:pPr>
        <w:widowControl w:val="on"/>
        <w:pBdr/>
        <w:spacing w:before="240" w:after="240" w:line="240" w:lineRule="auto"/>
        <w:ind w:left="0" w:right="0"/>
        <w:jc w:val="left"/>
      </w:pPr>
      <w:r>
        <w:rPr>
          <w:color w:val="000000"/>
          <w:sz w:val="24"/>
          <w:szCs w:val="24"/>
        </w:rPr>
        <w:t xml:space="preserve">Although the work aims to show the topic objectively, it also reflects a criminal investigator’s insights and opinion regarding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81771">
    <w:multiLevelType w:val="hybridMultilevel"/>
    <w:lvl w:ilvl="0" w:tplc="71707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81771">
    <w:abstractNumId w:val="94881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12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