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VESSZŐS GERGELY</w:t>
            </w:r>
          </w:p>
          <w:p w:rsidR="00C275A3" w:rsidRDefault="00A96AEC" w:rsidP="00C275A3">
            <w:pPr>
              <w:pStyle w:val="Hallgatokepzes"/>
            </w:pPr>
            <w:r>
              <w:t>Rendészeti igazgatási, vám- és jövedéki igazgatási szakirány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Szilvásy György Péter és Dr. Madai Sándor PhD</w:t>
            </w:r>
          </w:p>
          <w:p w:rsidR="00DB4822" w:rsidRDefault="00DB4822" w:rsidP="009763E0">
            <w:pPr>
              <w:pStyle w:val="Konzulensektitulus"/>
            </w:pPr>
            <w:r w:rsidRPr="00DB4822">
              <w:t>dr. Szilvásy György Péter: tanársegéd; Dr. Madai Sándor Phd: 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kiterjesztett jogos védelem problémái különös tekintettel a törvényi vélelemre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önvédelem alapjogként történő deklarálása alapvetően megváltoztatta a jogos védelem szabályozását hazánkban, ugyanis az Alaptörvény vonatkozó rendelkezéséhez igazodóan az új Büntető Törvénykönyv a jogos védelmi helyzetet kiterjesztette a szituációs jogos védelmi helyzet bevezetésével.</w:t>
      </w:r>
      <w:r>
        <w:rPr>
          <w:color w:val="000000"/>
          <w:sz w:val="24"/>
          <w:szCs w:val="24"/>
        </w:rPr>
        <w:br/>
        <w:t xml:space="preserve">A jogos védelem önálló intézményrendszer kialakulásának általános bemutatása elmaradhatatlan része a témakörnek, ennek megfelelően a dolgozat elején kerül sor a jogos védelem jogtörténeti szempontból történő bemutatására. A kérdéskörrel kapcsolatban az ókori római jogintézmény mellett fontosnak tartottam kiemelni az ókori görög szabályozás jogos védelemre vonatkozó rendelkezéseit, illetve az újkori gondolkodók álláspontját a jogos védelem rendszeréről. Ennek ellenére a jogtörténeti áttekintés hangsúlyos részének a magyar jogfejlődés történeti áttekintése tekinthető, amelyet a szűkebben vett problémakör, a jogos védelem jogintézményének fejlődésének mentén, az emberöléstől való elválás folyamatán keresztül kívántam bemutatni.</w:t>
      </w:r>
      <w:r>
        <w:rPr>
          <w:color w:val="000000"/>
          <w:sz w:val="24"/>
          <w:szCs w:val="24"/>
        </w:rPr>
        <w:br/>
        <w:t xml:space="preserve">A jogtörténeti felvezetést követően kerül sor a hatályos Büntető Törvénykönyv jogos védelemre vonatkozó szabályozásának ismertetésére, amellyel kapcsolatban számos érdekes polémia fedezhető fel a jogirodalmat tanulmányozva. Dolgozatomban foglalkoztam a megelőző jogos védelem kérdéskörével és a jogtalan támadás elhárításának hagyományos eseteivel, ezután pedig rátértem a Büntető Törvénykönyv nóvumának tekinthető szituációs jogos védelmi helyzetre. A törvényi vélelem ismertetése során tettem említést a „jogtalan támadás” kérdéskörére, illetve az arányosság hiányából adódó problémákra is. A dolgozat ezen részének kidolgozásakor a jogirodalomban fellelhető álláspontok bemutatása mellett törekedtem az önálló véleményformálásra, amelyet saját, vagy klasszikusnak tekinthető példák értelmezésével kíséreltem meg alátámasztani.</w:t>
      </w:r>
      <w:r>
        <w:rPr>
          <w:color w:val="000000"/>
          <w:sz w:val="24"/>
          <w:szCs w:val="24"/>
        </w:rPr>
        <w:br/>
        <w:t xml:space="preserve">A jogos védelmi helyzet szabályozásában megjelenő újdonságra vonatkozóan összehasonlítottam hazánk Büntető Törvénykönyvének jogos védelemre vonatkozó rendelkezéseit az Emberi Jogok Európai Egyezménye élethez való joggal kapcsolatos cikkelye mellett a svájci, a német, az olasz és a francia büntető törvénykönyvek jogos védelemre vonatkozó szabályozásával is.</w:t>
      </w:r>
      <w:r>
        <w:rPr>
          <w:color w:val="000000"/>
          <w:sz w:val="24"/>
          <w:szCs w:val="24"/>
        </w:rPr>
        <w:br/>
        <w:t xml:space="preserve">Zárásként a címben megjelölt, a tanulmányban részletesen kifejtett problémákra de lege ferenda javaslattal igyekeztem megoldási alternatívát kínálni.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63567">
    <w:multiLevelType w:val="hybridMultilevel"/>
    <w:lvl w:ilvl="0" w:tplc="78888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63567">
    <w:abstractNumId w:val="70463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213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