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UGRAI KATALIN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Hajnal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fogyasztói jogvédelem új irányai Európában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távértékesítés keretei között kötött szerződések a mindennapjaink részévé váltak és ezek az elektronikus kereskedelem elterjedésével óriási jelentőségre tettek szert. Ebben a témakörben rengeteg forrást találunk, ez azonban nem jelenti azt, hogy nincsenek kiaknázatlan területek. A dolgozatom aktualitását az adja, hogy az új fogyasztóvédelmi irányelvet (az Európai Parlament és Tanács fogyasztók jogairól szóló 2011/83/EU irányelvet) állítja középpontba, és annak problémamegoldásait vizsgálja. A téma feldolgozásakor megvizsgáltam a korábbi és a jelenlegi fogyasztóvédelmi irányelvet, valamint a jelenleg elfogadás alatt álló, a témához kapcsolódó szabályozási módszereket is számításba vettem. A hangsúlyt kifejezetten arra fektettem, hogy az új szabályozás milyen hatással lesz a határon átnyúló ügyletekre illetve a fogyasztói bizalom megerősítésében.</w:t>
      </w:r>
      <w:r>
        <w:rPr>
          <w:color w:val="000000"/>
          <w:sz w:val="24"/>
          <w:szCs w:val="24"/>
        </w:rPr>
        <w:br/>
        <w:t xml:space="preserve">Kutatásom alapját a jogszabályok, szakirodalom, valamint jogesetek elemzése adta, melyeken keresztül az alábbi következtetésekhez jutottam el.</w:t>
      </w:r>
      <w:r>
        <w:rPr>
          <w:color w:val="000000"/>
          <w:sz w:val="24"/>
          <w:szCs w:val="24"/>
        </w:rPr>
        <w:br/>
        <w:t xml:space="preserve">Az irányelv bár tett bizonyos lépéseket a felek beazonosításának elősegítésére, teljes körűen nem tudta szabályozni, így a vállalkozás és a magánszemély elhatárolásánál vizsgálni kell többek között az eladott áruk mennyiségét, az eladó megjelenését és adott esetben a szerződéskötési feltételeket is.</w:t>
      </w:r>
      <w:r>
        <w:rPr>
          <w:color w:val="000000"/>
          <w:sz w:val="24"/>
          <w:szCs w:val="24"/>
        </w:rPr>
        <w:br/>
        <w:t xml:space="preserve">Az online aukciók problematikájára az irányelv kerek választ adott. Az új szabályozás biztosítja a fogyasztók védelmének kiterjeszt az internetes árverések esetkörére is. Az egységes elállási idő meghatározása véleményem szerint mind fogyasztói, mind pedig vállalkozói oldalról kedvező változás, különösen a határon átnyúló ügyletek tekintetében. A tájékoztatási kötelezettség kapcsán arra jutottam, hogy bár rendkívül fontos fogyasztói jogosultság, a gyakorlatban sokszor nem éri el a célját értelmezési, ill. nyelvi akadályok miatt.</w:t>
      </w:r>
      <w:r>
        <w:rPr>
          <w:color w:val="000000"/>
          <w:sz w:val="24"/>
          <w:szCs w:val="24"/>
        </w:rPr>
        <w:br/>
        <w:t xml:space="preserve">Végül az egységes európai szerződési jogról szóló rendelettel foglalkoztam, mely a tagállamok belső joga mellett, azokkal párhuzamosan létezne. Ennek a 29. opcionális jogrendszernek a megalkotása bár egy határozott lépés az egységes magánjog megalkotása felé, kérdéses marad, hogy a gyakorlatban hogyan kerül majd alkalmazásra. Végül megvizsgáltam egy egységes szerződési jog esetleges hatásait a határon átnyúló ügyletekre nézve és arra jutottam, hogy költségcsökkentés szempontjából előnyös lehet, a fogyasztók vásárlási kedvét azonban valószínűleg csak közvetve befolyásolná.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28293">
    <w:multiLevelType w:val="hybridMultilevel"/>
    <w:lvl w:ilvl="0" w:tplc="624396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28293">
    <w:abstractNumId w:val="217282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8850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