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UGRAI</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Hajnal</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directions of the consumer protection in Europa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distance selling contracts have become a part of our common, everyday life. With the spread of the electronic commerce (e-commerce) these contracts gained high importance in our days. Plenty of resource is available on this regards but that still doesn't mean that there are no untapped fields. The relevance of my essay is proven as it tries to find a solution putting the latest European Consumer Directive in to the midpoint.</w:t>
      </w:r>
      <w:r>
        <w:rPr>
          <w:color w:val="000000"/>
          <w:sz w:val="24"/>
          <w:szCs w:val="24"/>
        </w:rPr>
        <w:br/>
        <w:t xml:space="preserve">While I was analyzing the topic, I focused on the old and current directives taking into account the new related suggestions of the statue of the Common European Sales Law. I was curious to see, how the new rules will affect the transnational transactions and the trust of the consumers.</w:t>
      </w:r>
      <w:r>
        <w:rPr>
          <w:color w:val="000000"/>
          <w:sz w:val="24"/>
          <w:szCs w:val="24"/>
        </w:rPr>
        <w:br/>
        <w:t xml:space="preserve">I have analyzed the law, using professional literature and the cases. These helped me to find relevant answers to my questions. I found explanation (with the help of the judicial practice) how to differentiate between trader and private person. Reading and analyzing the directive gave me the response to the problematic of the online auction. In my understanding the standardized withdrawal period will be beneficial not just for the consumers but also for the traders especially talking about international transactions.</w:t>
      </w:r>
    </w:p>
    <w:p>
      <w:pPr>
        <w:widowControl w:val="on"/>
        <w:pBdr/>
        <w:spacing w:before="240" w:after="240" w:line="240" w:lineRule="auto"/>
        <w:ind w:left="0" w:right="0"/>
        <w:jc w:val="left"/>
      </w:pPr>
      <w:r>
        <w:rPr>
          <w:color w:val="000000"/>
          <w:sz w:val="24"/>
          <w:szCs w:val="24"/>
        </w:rPr>
        <w:t xml:space="preserve">Last but not least, I conducted a research on the new suggestion of the statue of the Common European Sales Law. In my opinion cutting down charges on the trader side could also have a boost effect, but it would only have an indirect influence on the consumers behavioral long term.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90919">
    <w:multiLevelType w:val="hybridMultilevel"/>
    <w:lvl w:ilvl="0" w:tplc="92016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90919">
    <w:abstractNumId w:val="93390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712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