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M.TÓTH ORSOLYA</w:t>
            </w:r>
          </w:p>
          <w:p w:rsidR="00C275A3" w:rsidRDefault="00A96AEC" w:rsidP="00C275A3">
            <w:pPr>
              <w:pStyle w:val="Hallgatokepzes"/>
            </w:pPr>
            <w:r>
              <w:t>általános orvos</w:t>
            </w:r>
            <w:r>
              <w:br/>
            </w:r>
            <w:r w:rsidR="00E77B23">
              <w:t>Unified, 6. semester</w:t>
            </w:r>
          </w:p>
          <w:p w:rsidR="00C265CE" w:rsidRPr="009E5FF1" w:rsidRDefault="00E77B23" w:rsidP="009763E0">
            <w:pPr>
              <w:pStyle w:val="Hallgatointezmeny-kar"/>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Institóris Ádám</w:t>
            </w:r>
          </w:p>
          <w:p w:rsidR="00DB4822" w:rsidRDefault="00DB4822" w:rsidP="009763E0">
            <w:pPr>
              <w:pStyle w:val="Konzulensektitulus"/>
            </w:pPr>
            <w:r w:rsidRPr="00DB4822">
              <w:t>egyetemi tanársegéd, SZTE ÁOK</w:t>
            </w:r>
          </w:p>
        </w:tc>
      </w:tr>
      <w:tr w:rsidR="00DB4822" w:rsidTr="00DB4822">
        <w:tc>
          <w:tcPr>
            <w:tcW w:w="9854" w:type="dxa"/>
          </w:tcPr>
          <w:p w:rsidR="00DB4822" w:rsidRPr="00DB4822" w:rsidRDefault="00DB4822" w:rsidP="009763E0">
            <w:pPr>
              <w:pStyle w:val="Konzulenseknev"/>
            </w:pPr>
            <w:r w:rsidRPr="00DB4822">
              <w:t>Dr. Farkas Eszter</w:t>
            </w:r>
          </w:p>
          <w:p w:rsidR="00DB4822" w:rsidRDefault="00DB4822" w:rsidP="009763E0">
            <w:pPr>
              <w:pStyle w:val="Konzulensektitulus"/>
            </w:pPr>
            <w:r w:rsidRPr="00DB4822">
              <w:t>tudományos főmunkatárs, SZTE ÁOK</w:t>
            </w:r>
          </w:p>
        </w:tc>
      </w:tr>
      <w:tr w:rsidR="00DB4822" w:rsidTr="00DB4822">
        <w:tc>
          <w:tcPr>
            <w:tcW w:w="9854" w:type="dxa"/>
          </w:tcPr>
          <w:p w:rsidR="00DB4822" w:rsidRPr="00DB4822" w:rsidRDefault="00DB4822" w:rsidP="009763E0">
            <w:pPr>
              <w:pStyle w:val="Konzulenseknev"/>
            </w:pPr>
            <w:r w:rsidRPr="00DB4822">
              <w:t>Prof. Bari Ferenc</w:t>
            </w:r>
          </w:p>
          <w:p w:rsidR="00DB4822" w:rsidRDefault="00DB4822" w:rsidP="009763E0">
            <w:pPr>
              <w:pStyle w:val="Konzulensektitulus"/>
            </w:pPr>
            <w:r w:rsidRPr="00DB4822">
              <w:t>tanszékvezető egyetemi tanár,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öregedés hatása az agykérgi kúszó depolarizáció mintázatára az iszkémiás patkányagyban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agykérgi kúszó depolarizáció (spreading depolarization, SD) az ideg- és gliasejtek membránpotenciáljának tranziens, negatív kitérése, mely hullámszerűen végigterjed az agykérgen. Jellegzetes vérátáramlási és metabolikus változásokkal jár, melyek fokális agyi iszkémia során penumbrakárosodást okozhatnak. Annak ellenére, hogy az öregedés a stroke fontos rizikótényezője, keveset tudunk az SD korfüggő megjelenéséről. Célunk volt összehasonlítani az agyi iszkémia dinamikáját, az iszkémia során spontán jelentkező SD-k mintázatát és a reperfúzió dinamikáját fiatal (3 hónapos, n=7) és idős (2 éves, n=6) patkányokban.</w:t>
      </w:r>
    </w:p>
    <w:p>
      <w:pPr>
        <w:widowControl w:val="on"/>
        <w:pBdr/>
        <w:spacing w:before="240" w:after="240" w:line="240" w:lineRule="auto"/>
        <w:ind w:left="0" w:right="0"/>
        <w:jc w:val="left"/>
      </w:pPr>
      <w:r>
        <w:rPr>
          <w:color w:val="000000"/>
          <w:sz w:val="24"/>
          <w:szCs w:val="24"/>
        </w:rPr>
        <w:t xml:space="preserve">Módszerek: A kísérleteket halotános altatás mellett, spontán légző hím Wistar patkányokon végeztük, vérnyomást és vérgáz értékeket farokartériás kanülön keresztül monitoroztunk. Parietális kraniotómián át vezetett Ag/AgCl elektródával DC-kapcsolt elektrokortikogramot, lézer-Doppler próbával agyi vérátáramlást regisztráltunk a penumbrából. A regisztráció során 30 perc kontroll után 30 perces iszkémiás, majd 60 perces reperfúziós szakaszt mértünk. Az iszkémiát mikroaneurizma klippel kialakított tranziens, disztális a. cerebri media oklúzióval és kétoldali a. carotis communis elzárással hoztuk létre.</w:t>
      </w:r>
    </w:p>
    <w:p>
      <w:pPr>
        <w:widowControl w:val="on"/>
        <w:pBdr/>
        <w:spacing w:before="240" w:after="240" w:line="240" w:lineRule="auto"/>
        <w:ind w:left="0" w:right="0"/>
        <w:jc w:val="left"/>
      </w:pPr>
      <w:r>
        <w:rPr>
          <w:color w:val="000000"/>
          <w:sz w:val="24"/>
          <w:szCs w:val="24"/>
        </w:rPr>
        <w:t xml:space="preserve">Eredmények: Iszkémia indukálása után az agyi vérátáramlás dinamikája a két csoportban hasonlóságot mutatott (fiatal: alap 17,5±3,0%-a; idős: alap 15,7±3,0%-a), de míg fiatal állatokban reperfúzió hatására mérhető reaktív hiperémia jelentkezett (197,9±31,2%), idős állatokban ez nem volt kifejezett (112,5±29,2%). Fiataloknál 7 kísérletből 4 alkalommal 6 SD-t, míg időseknél 4 kísérletből 2 esetben 1-1 SD-t regisztráltunk. Az SD-t követő hemodinamikai változások is kifejezettebben jelentkeztek fiatalokban (kezdeti hipoperfúzió: 26,3±3,0%; hiperémia: 48,5±4,0%), mint idősekben (kezdeti hipoperfúzió: 9,0±4,0%; hiperémia: 21,7±3,3%).</w:t>
      </w:r>
    </w:p>
    <w:p>
      <w:pPr>
        <w:widowControl w:val="on"/>
        <w:pBdr/>
        <w:spacing w:before="240" w:after="240" w:line="240" w:lineRule="auto"/>
        <w:ind w:left="0" w:right="0"/>
        <w:jc w:val="left"/>
      </w:pPr>
      <w:r>
        <w:rPr>
          <w:color w:val="000000"/>
          <w:sz w:val="24"/>
          <w:szCs w:val="24"/>
        </w:rPr>
        <w:t xml:space="preserve">Megbeszélés: Eredményeink azt mutatják, hogy idős állatokban kisebb az SD-re való érzékenység. Az SD-re adott hemodinamikai válaszok kisebb mértékűek, amely növelheti az iszkémia során keletkező SD-k szövetkárosító hatását.</w:t>
      </w:r>
    </w:p>
    <w:p>
      <w:pPr>
        <w:widowControl w:val="on"/>
        <w:pBdr/>
        <w:spacing w:before="240" w:after="240" w:line="240" w:lineRule="auto"/>
        <w:ind w:left="0" w:right="0"/>
        <w:jc w:val="left"/>
      </w:pPr>
      <w:r>
        <w:rPr>
          <w:color w:val="000000"/>
          <w:sz w:val="24"/>
          <w:szCs w:val="24"/>
        </w:rPr>
        <w:t xml:space="preserve">Támogatók: OTKA 81266, TÁMOP-4.2.2A-11/1/KONV-2012-0052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56923">
    <w:multiLevelType w:val="hybridMultilevel"/>
    <w:lvl w:ilvl="0" w:tplc="10242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56923">
    <w:abstractNumId w:val="90956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35297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