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PIGLER JÁNOS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Unified,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RIESZ TAMÁS JÁNOS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Unified, 8.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Görbe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Pálóczi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Ferdinándy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professzor,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Thomas Eschenhagen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professzor,  Institut für Experimentelle Pharmakologie und Toxikologie, Universitätsklinikum Hamburg-Eppendorf, Germany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NO-donor SNAP és BNP citoprotektív hatása hipoxia/reoxigenizációs során in vitro patkány 3-dimenziós szívizomszöveten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3-dimenziós szövet tenyésztés az elmúlt évtizedben egy megbízható kísérleti tesztrendszerré fejlődött. A mesterséges szívizomszövet (engineered heart tissue/EHT) is jól alkalmazható különböző kardiovaszkuláris betegségek vizsgálatára. Jelen kísérletben hipoxia/reoxigenizáció okozta károsodást és ismert kardioprotektív molekulák hatását vizsgáltuk EHT modellben.</w:t>
      </w:r>
      <w:r>
        <w:rPr>
          <w:color w:val="000000"/>
          <w:sz w:val="24"/>
          <w:szCs w:val="24"/>
        </w:rPr>
        <w:br/>
        <w:t xml:space="preserve">Módszerek: Az EHT-k újszülött patkány szívizomszövetből készültek, melyek 37°C-on, 7%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40% 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koncentráció mellett fejlődtek és 8-10 nap múlva ritmusosan kontrahálni kezdtek. A 15-22 napos EHT-kat a kísérletek előtt 24 óráig EHT-médiumban inkubáltuk. Ezt követően az EHT-k 180 perc hipoxiának (93% 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7%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majd 120 perc reoxigenizációnak voltak kitéve, illetve kontrollként normoxiás körülmények között vizsgáltuk őket. A hipoxia/reoxigenizáció során a következő kezeléseket alkalmaztuk: friss EHT-médium pozitív kontrollként, NO-donor S-nitrozo-N-acetyl-D,L-penicillamin (SNAP, 10</w:t>
      </w:r>
      <w:r>
        <w:rPr>
          <w:color w:val="000000"/>
          <w:position w:val="4"/>
          <w:sz w:val="21"/>
          <w:szCs w:val="21"/>
          <w:vertAlign w:val="superscript"/>
        </w:rPr>
        <w:t xml:space="preserve">-7</w:t>
      </w:r>
      <w:r>
        <w:rPr>
          <w:color w:val="000000"/>
          <w:sz w:val="24"/>
          <w:szCs w:val="24"/>
        </w:rPr>
        <w:t xml:space="preserve">, 10</w:t>
      </w:r>
      <w:r>
        <w:rPr>
          <w:color w:val="000000"/>
          <w:position w:val="4"/>
          <w:sz w:val="21"/>
          <w:szCs w:val="21"/>
          <w:vertAlign w:val="superscript"/>
        </w:rPr>
        <w:t xml:space="preserve">-6</w:t>
      </w:r>
      <w:r>
        <w:rPr>
          <w:color w:val="000000"/>
          <w:sz w:val="24"/>
          <w:szCs w:val="24"/>
        </w:rPr>
        <w:t xml:space="preserve">, 10</w:t>
      </w:r>
      <w:r>
        <w:rPr>
          <w:color w:val="000000"/>
          <w:position w:val="4"/>
          <w:sz w:val="21"/>
          <w:szCs w:val="21"/>
          <w:vertAlign w:val="superscript"/>
        </w:rPr>
        <w:t xml:space="preserve">-5</w:t>
      </w:r>
      <w:r>
        <w:rPr>
          <w:color w:val="000000"/>
          <w:sz w:val="24"/>
          <w:szCs w:val="24"/>
        </w:rPr>
        <w:t xml:space="preserve"> M), B-típusú nátriuretikus peptid (BNP, 10</w:t>
      </w:r>
      <w:r>
        <w:rPr>
          <w:color w:val="000000"/>
          <w:position w:val="4"/>
          <w:sz w:val="21"/>
          <w:szCs w:val="21"/>
          <w:vertAlign w:val="superscript"/>
        </w:rPr>
        <w:t xml:space="preserve">-9</w:t>
      </w:r>
      <w:r>
        <w:rPr>
          <w:color w:val="000000"/>
          <w:sz w:val="24"/>
          <w:szCs w:val="24"/>
        </w:rPr>
        <w:t xml:space="preserve">, 10</w:t>
      </w:r>
      <w:r>
        <w:rPr>
          <w:color w:val="000000"/>
          <w:position w:val="4"/>
          <w:sz w:val="21"/>
          <w:szCs w:val="21"/>
          <w:vertAlign w:val="superscript"/>
        </w:rPr>
        <w:t xml:space="preserve">-8</w:t>
      </w:r>
      <w:r>
        <w:rPr>
          <w:color w:val="000000"/>
          <w:sz w:val="24"/>
          <w:szCs w:val="24"/>
        </w:rPr>
        <w:t xml:space="preserve">, 10</w:t>
      </w:r>
      <w:r>
        <w:rPr>
          <w:color w:val="000000"/>
          <w:position w:val="4"/>
          <w:sz w:val="21"/>
          <w:szCs w:val="21"/>
          <w:vertAlign w:val="superscript"/>
        </w:rPr>
        <w:t xml:space="preserve">-7</w:t>
      </w:r>
      <w:r>
        <w:rPr>
          <w:color w:val="000000"/>
          <w:sz w:val="24"/>
          <w:szCs w:val="24"/>
        </w:rPr>
        <w:t xml:space="preserve"> M). A kísérletben a frekvenciát és a kontrakciók erejét video elemzéssel vizsgáltuk. Troponin I és LDH koncentrációt, pH-t, valamint a glükóz fogyasztást az EHT-médiumból mértük.</w:t>
      </w:r>
      <w:r>
        <w:rPr>
          <w:color w:val="000000"/>
          <w:sz w:val="24"/>
          <w:szCs w:val="24"/>
        </w:rPr>
        <w:br/>
        <w:t xml:space="preserve">Eredmények: A 180 perc hipoxia majd 120 perc reperfúzió elegendőnek bizonyult ahhoz, hogy az összes EHT működése leálljon. Ezt követően az EHT-k többsége regenerálódott, és 2 napos utánkövetés során túlélt. Mind az összehúzódások frekvenciáját, mind pedig a teljesítményét a SNAP és a BNP is szignifikánsan növelte a reperfúziós szakaszban. A Troponin I (0,2-0,8 ng/ml), LDH (0,07-0,08 U/ml), és pH (7,5) értékek és a glükóz fogyasztás (3-3,5 mM/l) nem mutatott szignifikáns eltérést a vizsgált csoportok között.</w:t>
      </w:r>
      <w:r>
        <w:rPr>
          <w:color w:val="000000"/>
          <w:sz w:val="24"/>
          <w:szCs w:val="24"/>
        </w:rPr>
        <w:br/>
        <w:t xml:space="preserve">Konklúzió: A modell alkalmazható a potenciális kardioprotektív szerek in vitro tesztelésére, és olyan paraméterek monitorozására, melyek korábban csak in vivo vagy ex vivo preparátumokon voltak vizsgálhatóak.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12138">
    <w:multiLevelType w:val="hybridMultilevel"/>
    <w:lvl w:ilvl="0" w:tplc="79740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12138">
    <w:abstractNumId w:val="651121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8873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