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IVETT DORINA SZEREDI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Sántha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Gábor Jancsó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Contribution of primary afferent neuron subpopulations to the axotomy-induced activation of the spinal microglia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perifériás idegek sérülését követően a szomatotópiásan érintett gerincvelői</w:t>
      </w:r>
      <w:r>
        <w:rPr>
          <w:color w:val="000000"/>
          <w:sz w:val="24"/>
          <w:szCs w:val="24"/>
        </w:rPr>
        <w:br/>
        <w:t xml:space="preserve">primer afferens projekciós areákban jelentős mikroglia aktiváció figyelhető meg. A kialakuló</w:t>
      </w:r>
      <w:r>
        <w:rPr>
          <w:color w:val="000000"/>
          <w:sz w:val="24"/>
          <w:szCs w:val="24"/>
        </w:rPr>
        <w:br/>
        <w:t xml:space="preserve">mikroglia-neuron kölcsönhatásoknak fontos szerepet tulajdonítanak a neuropátiás fájdalom</w:t>
      </w:r>
      <w:r>
        <w:rPr>
          <w:color w:val="000000"/>
          <w:sz w:val="24"/>
          <w:szCs w:val="24"/>
        </w:rPr>
        <w:br/>
        <w:t xml:space="preserve">patomechanizmusában. Vizsgálataink a mikroglia aktivációban szerepet játszó primer afferens</w:t>
      </w:r>
      <w:r>
        <w:rPr>
          <w:color w:val="000000"/>
          <w:sz w:val="24"/>
          <w:szCs w:val="24"/>
        </w:rPr>
        <w:br/>
        <w:t xml:space="preserve">neuron szubpopuláció(k) identifikálására irányultak. Ezért immunhisztokémiai és</w:t>
      </w:r>
      <w:r>
        <w:rPr>
          <w:color w:val="000000"/>
          <w:sz w:val="24"/>
          <w:szCs w:val="24"/>
        </w:rPr>
        <w:br/>
        <w:t xml:space="preserve">morfometriai módszerekkel összehasonlítottuk a perifériás idegek átmetszését és a C-rost</w:t>
      </w:r>
      <w:r>
        <w:rPr>
          <w:color w:val="000000"/>
          <w:sz w:val="24"/>
          <w:szCs w:val="24"/>
        </w:rPr>
        <w:br/>
        <w:t xml:space="preserve">afferensek szelektív kémiai denervációját követő spinális mikroglia aktivációt.</w:t>
      </w:r>
      <w:r>
        <w:rPr>
          <w:color w:val="000000"/>
          <w:sz w:val="24"/>
          <w:szCs w:val="24"/>
        </w:rPr>
        <w:br/>
        <w:t xml:space="preserve">Módszerek: Kísérleteinkben altatott hím Wistar patkányok egyik csoportjában a n. saphenust</w:t>
      </w:r>
      <w:r>
        <w:rPr>
          <w:color w:val="000000"/>
          <w:sz w:val="24"/>
          <w:szCs w:val="24"/>
        </w:rPr>
        <w:br/>
        <w:t xml:space="preserve">vagy a n. ischiadicust átmetszettük. A másik csoportban perineurális capsaicin kezeléssel</w:t>
      </w:r>
      <w:r>
        <w:rPr>
          <w:color w:val="000000"/>
          <w:sz w:val="24"/>
          <w:szCs w:val="24"/>
        </w:rPr>
        <w:br/>
        <w:t xml:space="preserve">szelektív drC-rost kemodenervációt végeztünk. A kezeléseket követő 2. héten az állatokat</w:t>
      </w:r>
      <w:r>
        <w:rPr>
          <w:color w:val="000000"/>
          <w:sz w:val="24"/>
          <w:szCs w:val="24"/>
        </w:rPr>
        <w:br/>
        <w:t xml:space="preserve">mély altatásban transzkardiálisan perfundáltuk, a gerincvelő lumbális szakaszát eltávolítottuk</w:t>
      </w:r>
      <w:r>
        <w:rPr>
          <w:color w:val="000000"/>
          <w:sz w:val="24"/>
          <w:szCs w:val="24"/>
        </w:rPr>
        <w:br/>
        <w:t xml:space="preserve">és az L3-L4 szegmentumokból kriosztát metszeteket készítettünk. A mikroglia sejteket OX42</w:t>
      </w:r>
      <w:r>
        <w:rPr>
          <w:color w:val="000000"/>
          <w:sz w:val="24"/>
          <w:szCs w:val="24"/>
        </w:rPr>
        <w:br/>
        <w:t xml:space="preserve">antiszérummal, a C-rost afferenseket Griffonia simplicifolia IB4 izolektin kötéssel</w:t>
      </w:r>
      <w:r>
        <w:rPr>
          <w:color w:val="000000"/>
          <w:sz w:val="24"/>
          <w:szCs w:val="24"/>
        </w:rPr>
        <w:br/>
        <w:t xml:space="preserve">detektáltuk. A mikroglia reakció mértékét az OX42-immunreaktívitást mutató gliasejtek által</w:t>
      </w:r>
      <w:r>
        <w:rPr>
          <w:color w:val="000000"/>
          <w:sz w:val="24"/>
          <w:szCs w:val="24"/>
        </w:rPr>
        <w:br/>
        <w:t xml:space="preserve">konfokális mikroszkóppal készített optikai metszetekben lefedett területtel jellemeztük.</w:t>
      </w:r>
      <w:r>
        <w:rPr>
          <w:color w:val="000000"/>
          <w:sz w:val="24"/>
          <w:szCs w:val="24"/>
        </w:rPr>
        <w:br/>
        <w:t xml:space="preserve">Eredmények: Eredményeink szerint a perifériás idegek átmetszése masszív mikrogliaaktivációt idéz elő a gerincvelői hátsó szarv IB4 izolektin kötéssel azonosított,</w:t>
      </w:r>
      <w:r>
        <w:rPr>
          <w:color w:val="000000"/>
          <w:sz w:val="24"/>
          <w:szCs w:val="24"/>
        </w:rPr>
        <w:br/>
        <w:t xml:space="preserve">szomatotópiásan meghatározott területén. A mikroglia denzitás az átmetszés oldalán jelentős</w:t>
      </w:r>
      <w:r>
        <w:rPr>
          <w:color w:val="000000"/>
          <w:sz w:val="24"/>
          <w:szCs w:val="24"/>
        </w:rPr>
        <w:br/>
        <w:t xml:space="preserve">emelkedést mutatott (laminae I-II: 237±36%, laminae III-IV: 525±78%) a kontroll oldalhoz</w:t>
      </w:r>
      <w:r>
        <w:rPr>
          <w:color w:val="000000"/>
          <w:sz w:val="24"/>
          <w:szCs w:val="24"/>
        </w:rPr>
        <w:br/>
        <w:t xml:space="preserve">viszonyítva. Perineurális capsaicin kezeléssel előidézett kémiai axotómiát követően a</w:t>
      </w:r>
      <w:r>
        <w:rPr>
          <w:color w:val="000000"/>
          <w:sz w:val="24"/>
          <w:szCs w:val="24"/>
        </w:rPr>
        <w:br/>
        <w:t xml:space="preserve">mikroglia denzitás csupán 58±22, illetve 59±17%-kal fokozódott az ipszilaterális hátsó szarv</w:t>
      </w:r>
      <w:r>
        <w:rPr>
          <w:color w:val="000000"/>
          <w:sz w:val="24"/>
          <w:szCs w:val="24"/>
        </w:rPr>
        <w:br/>
        <w:t xml:space="preserve">különböző rétegeiben.</w:t>
      </w:r>
      <w:r>
        <w:rPr>
          <w:color w:val="000000"/>
          <w:sz w:val="24"/>
          <w:szCs w:val="24"/>
        </w:rPr>
        <w:br/>
        <w:t xml:space="preserve">Következtetés: Eredményeink arra utalnak, hogy a perifériás idegek sérülését/átmetszését</w:t>
      </w:r>
      <w:r>
        <w:rPr>
          <w:color w:val="000000"/>
          <w:sz w:val="24"/>
          <w:szCs w:val="24"/>
        </w:rPr>
        <w:br/>
        <w:t xml:space="preserve">követő masszív mikroglia aktiváció kiváltásáért főként a velőhüvelyes primer afferens</w:t>
      </w:r>
      <w:r>
        <w:rPr>
          <w:color w:val="000000"/>
          <w:sz w:val="24"/>
          <w:szCs w:val="24"/>
        </w:rPr>
        <w:br/>
        <w:t xml:space="preserve">idegrostok lehetnek felelősek. Tekintettel arra, hogy a perineurális capsaicin kezelés szelektív</w:t>
      </w:r>
      <w:r>
        <w:rPr>
          <w:color w:val="000000"/>
          <w:sz w:val="24"/>
          <w:szCs w:val="24"/>
        </w:rPr>
        <w:br/>
        <w:t xml:space="preserve">regionális thermo- és kemoanalgéziát okoz, a mikroglia aktiváció nem tekinthető a</w:t>
      </w:r>
      <w:r>
        <w:rPr>
          <w:color w:val="000000"/>
          <w:sz w:val="24"/>
          <w:szCs w:val="24"/>
        </w:rPr>
        <w:br/>
        <w:t xml:space="preserve">neuropathiás fájdalom megbízható biomarkerének.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91969">
    <w:multiLevelType w:val="hybridMultilevel"/>
    <w:lvl w:ilvl="0" w:tplc="15672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91969">
    <w:abstractNumId w:val="84191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394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