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CSETE KATONA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Attila Bárány,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"Haszontalan" tárgyak? A Konungsnautr mint koncepció a középkori Északon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Actor-Network-Theory, an object can have agency in social relations just as</w:t>
      </w:r>
      <w:r>
        <w:rPr>
          <w:color w:val="000000"/>
          <w:sz w:val="24"/>
          <w:szCs w:val="24"/>
        </w:rPr>
        <w:br/>
        <w:t xml:space="preserve">much as humans (Latour, 2005). In Old Norse literature, heroic weapons are well-known</w:t>
      </w:r>
      <w:r>
        <w:rPr>
          <w:color w:val="000000"/>
          <w:sz w:val="24"/>
          <w:szCs w:val="24"/>
        </w:rPr>
        <w:br/>
        <w:t xml:space="preserve">examples of objects being actors in the formulation of the plot (Torfing, 2012). However, they</w:t>
      </w:r>
      <w:r>
        <w:rPr>
          <w:color w:val="000000"/>
          <w:sz w:val="24"/>
          <w:szCs w:val="24"/>
        </w:rPr>
        <w:br/>
        <w:t xml:space="preserve">can have an important influence not solely for their mighty abilities as tools of violence, but</w:t>
      </w:r>
      <w:r>
        <w:rPr>
          <w:color w:val="000000"/>
          <w:sz w:val="24"/>
          <w:szCs w:val="24"/>
        </w:rPr>
        <w:br/>
        <w:t xml:space="preserve">sometimes for an unexpected reason as well: their social importance. This thesis attempts to</w:t>
      </w:r>
      <w:r>
        <w:rPr>
          <w:color w:val="000000"/>
          <w:sz w:val="24"/>
          <w:szCs w:val="24"/>
        </w:rPr>
        <w:br/>
        <w:t xml:space="preserve">shed light on the fact that objects are not always handled according to their primary role and</w:t>
      </w:r>
      <w:r>
        <w:rPr>
          <w:color w:val="000000"/>
          <w:sz w:val="24"/>
          <w:szCs w:val="24"/>
        </w:rPr>
        <w:br/>
        <w:t xml:space="preserve">function as social symbols rather than actual tools of violence. This fact is illustrated through</w:t>
      </w:r>
      <w:r>
        <w:rPr>
          <w:color w:val="000000"/>
          <w:sz w:val="24"/>
          <w:szCs w:val="24"/>
        </w:rPr>
        <w:br/>
        <w:t xml:space="preserve">the examination of two swords called ‘Konungsnautr’ in Laxdaela saga, which are not</w:t>
      </w:r>
      <w:r>
        <w:rPr>
          <w:color w:val="000000"/>
          <w:sz w:val="24"/>
          <w:szCs w:val="24"/>
        </w:rPr>
        <w:br/>
        <w:t xml:space="preserve">involved in violent actions, unlike other named weapons in the same saga. Other instances</w:t>
      </w:r>
      <w:r>
        <w:rPr>
          <w:color w:val="000000"/>
          <w:sz w:val="24"/>
          <w:szCs w:val="24"/>
        </w:rPr>
        <w:br/>
        <w:t xml:space="preserve">from Egils saga, Gunnlaugs saga or Hallfreðar saga will strengthen the idea that Laxdaela</w:t>
      </w:r>
      <w:r>
        <w:rPr>
          <w:color w:val="000000"/>
          <w:sz w:val="24"/>
          <w:szCs w:val="24"/>
        </w:rPr>
        <w:br/>
        <w:t xml:space="preserve">saga is not the only example where symbolic artefacts are actors. An axe used against oxen,</w:t>
      </w:r>
      <w:r>
        <w:rPr>
          <w:color w:val="000000"/>
          <w:sz w:val="24"/>
          <w:szCs w:val="24"/>
        </w:rPr>
        <w:br/>
        <w:t xml:space="preserve">swords which do not kill or a cloak which is never worn all testify that “unpractically”</w:t>
      </w:r>
      <w:r>
        <w:rPr>
          <w:color w:val="000000"/>
          <w:sz w:val="24"/>
          <w:szCs w:val="24"/>
        </w:rPr>
        <w:br/>
        <w:t xml:space="preserve">handled objects have unique significance in Old Norse world. As we are dealing with objects,</w:t>
      </w:r>
      <w:r>
        <w:rPr>
          <w:color w:val="000000"/>
          <w:sz w:val="24"/>
          <w:szCs w:val="24"/>
        </w:rPr>
        <w:br/>
        <w:t xml:space="preserve">it is essential to be aware of the physical nature of these artefacts, thus the literary sources will</w:t>
      </w:r>
      <w:r>
        <w:rPr>
          <w:color w:val="000000"/>
          <w:sz w:val="24"/>
          <w:szCs w:val="24"/>
        </w:rPr>
        <w:br/>
        <w:t xml:space="preserve">be investigated alongside archaeological evidence (Lund, 2014).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51233">
    <w:multiLevelType w:val="hybridMultilevel"/>
    <w:lvl w:ilvl="0" w:tplc="63639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51233">
    <w:abstractNumId w:val="50351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381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